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5FA" w:rsidRDefault="00C654D6">
      <w:pPr>
        <w:widowControl w:val="0"/>
        <w:autoSpaceDE w:val="0"/>
        <w:autoSpaceDN w:val="0"/>
        <w:adjustRightInd w:val="0"/>
        <w:spacing w:before="96" w:after="0" w:line="240" w:lineRule="auto"/>
        <w:ind w:left="138"/>
        <w:rPr>
          <w:rFonts w:ascii="Times New Roman" w:hAnsi="Times New Roman"/>
          <w:sz w:val="20"/>
          <w:szCs w:val="20"/>
        </w:rPr>
      </w:pPr>
      <w:r>
        <w:rPr>
          <w:rFonts w:ascii="Times New Roman" w:hAnsi="Times New Roman"/>
          <w:noProof/>
          <w:sz w:val="24"/>
          <w:szCs w:val="24"/>
          <w:lang w:val="it-IT" w:eastAsia="it-IT"/>
        </w:rPr>
        <w:drawing>
          <wp:inline distT="0" distB="0" distL="0" distR="0">
            <wp:extent cx="1743075" cy="409575"/>
            <wp:effectExtent l="1905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743075" cy="409575"/>
                    </a:xfrm>
                    <a:prstGeom prst="rect">
                      <a:avLst/>
                    </a:prstGeom>
                    <a:noFill/>
                    <a:ln w="9525">
                      <a:noFill/>
                      <a:miter lim="800000"/>
                      <a:headEnd/>
                      <a:tailEnd/>
                    </a:ln>
                  </pic:spPr>
                </pic:pic>
              </a:graphicData>
            </a:graphic>
          </wp:inline>
        </w:drawing>
      </w:r>
    </w:p>
    <w:p w:rsidR="001455FA" w:rsidRDefault="001455FA">
      <w:pPr>
        <w:widowControl w:val="0"/>
        <w:autoSpaceDE w:val="0"/>
        <w:autoSpaceDN w:val="0"/>
        <w:adjustRightInd w:val="0"/>
        <w:spacing w:before="7" w:after="0" w:line="160" w:lineRule="exact"/>
        <w:rPr>
          <w:rFonts w:ascii="Times New Roman" w:hAnsi="Times New Roman"/>
          <w:sz w:val="16"/>
          <w:szCs w:val="16"/>
        </w:rPr>
      </w:pPr>
    </w:p>
    <w:p w:rsidR="001455FA" w:rsidRDefault="001455FA">
      <w:pPr>
        <w:widowControl w:val="0"/>
        <w:autoSpaceDE w:val="0"/>
        <w:autoSpaceDN w:val="0"/>
        <w:adjustRightInd w:val="0"/>
        <w:spacing w:after="0" w:line="200" w:lineRule="exact"/>
        <w:rPr>
          <w:rFonts w:ascii="Times New Roman" w:hAnsi="Times New Roman"/>
          <w:sz w:val="20"/>
          <w:szCs w:val="20"/>
        </w:rPr>
      </w:pPr>
    </w:p>
    <w:p w:rsidR="001455FA" w:rsidRDefault="001455FA">
      <w:pPr>
        <w:widowControl w:val="0"/>
        <w:autoSpaceDE w:val="0"/>
        <w:autoSpaceDN w:val="0"/>
        <w:adjustRightInd w:val="0"/>
        <w:spacing w:after="0" w:line="200" w:lineRule="exact"/>
        <w:rPr>
          <w:rFonts w:ascii="Times New Roman" w:hAnsi="Times New Roman"/>
          <w:sz w:val="20"/>
          <w:szCs w:val="20"/>
        </w:rPr>
      </w:pPr>
    </w:p>
    <w:p w:rsidR="001455FA" w:rsidRDefault="00C654D6">
      <w:pPr>
        <w:widowControl w:val="0"/>
        <w:autoSpaceDE w:val="0"/>
        <w:autoSpaceDN w:val="0"/>
        <w:adjustRightInd w:val="0"/>
        <w:spacing w:after="0" w:line="240" w:lineRule="auto"/>
        <w:ind w:left="1418"/>
        <w:rPr>
          <w:rFonts w:ascii="Times New Roman" w:hAnsi="Times New Roman"/>
          <w:sz w:val="20"/>
          <w:szCs w:val="20"/>
        </w:rPr>
      </w:pPr>
      <w:r>
        <w:rPr>
          <w:rFonts w:ascii="Times New Roman" w:hAnsi="Times New Roman"/>
          <w:noProof/>
          <w:sz w:val="20"/>
          <w:szCs w:val="20"/>
          <w:lang w:val="it-IT" w:eastAsia="it-IT"/>
        </w:rPr>
        <w:drawing>
          <wp:inline distT="0" distB="0" distL="0" distR="0">
            <wp:extent cx="4095750" cy="904875"/>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4095750" cy="904875"/>
                    </a:xfrm>
                    <a:prstGeom prst="rect">
                      <a:avLst/>
                    </a:prstGeom>
                    <a:noFill/>
                    <a:ln w="9525">
                      <a:noFill/>
                      <a:miter lim="800000"/>
                      <a:headEnd/>
                      <a:tailEnd/>
                    </a:ln>
                  </pic:spPr>
                </pic:pic>
              </a:graphicData>
            </a:graphic>
          </wp:inline>
        </w:drawing>
      </w:r>
    </w:p>
    <w:p w:rsidR="001455FA" w:rsidRDefault="001455FA">
      <w:pPr>
        <w:widowControl w:val="0"/>
        <w:autoSpaceDE w:val="0"/>
        <w:autoSpaceDN w:val="0"/>
        <w:adjustRightInd w:val="0"/>
        <w:spacing w:before="10" w:after="0" w:line="100" w:lineRule="exact"/>
        <w:rPr>
          <w:rFonts w:ascii="Times New Roman" w:hAnsi="Times New Roman"/>
          <w:sz w:val="10"/>
          <w:szCs w:val="10"/>
        </w:rPr>
      </w:pPr>
    </w:p>
    <w:p w:rsidR="001455FA" w:rsidRDefault="001455FA" w:rsidP="00F37184">
      <w:pPr>
        <w:jc w:val="center"/>
      </w:pPr>
    </w:p>
    <w:p w:rsidR="001455FA" w:rsidRPr="00266892" w:rsidRDefault="00041CEF" w:rsidP="00F37184">
      <w:pPr>
        <w:jc w:val="center"/>
        <w:rPr>
          <w:b/>
          <w:noProof/>
          <w:lang w:val="it-IT"/>
        </w:rPr>
      </w:pPr>
      <w:r w:rsidRPr="00041CEF">
        <w:rPr>
          <w:b/>
          <w:noProof/>
        </w:rPr>
        <w:pict>
          <v:rect id="_x0000_s1026" style="position:absolute;left:0;text-align:left;margin-left:398.4pt;margin-top:56.7pt;width:125pt;height:30pt;z-index:-251658752;mso-position-horizontal-relative:page;mso-position-vertical-relative:page" o:allowincell="f" filled="f" stroked="f">
            <v:textbox inset="0,0,0,0">
              <w:txbxContent>
                <w:p w:rsidR="001455FA" w:rsidRDefault="00C654D6">
                  <w:pPr>
                    <w:spacing w:after="0" w:line="600" w:lineRule="atLeast"/>
                    <w:rPr>
                      <w:rFonts w:ascii="Times New Roman" w:hAnsi="Times New Roman"/>
                      <w:sz w:val="24"/>
                      <w:szCs w:val="24"/>
                    </w:rPr>
                  </w:pPr>
                  <w:r>
                    <w:rPr>
                      <w:rFonts w:ascii="Times New Roman" w:hAnsi="Times New Roman"/>
                      <w:noProof/>
                      <w:sz w:val="24"/>
                      <w:szCs w:val="24"/>
                      <w:lang w:val="it-IT" w:eastAsia="it-IT"/>
                    </w:rPr>
                    <w:drawing>
                      <wp:inline distT="0" distB="0" distL="0" distR="0">
                        <wp:extent cx="1571625" cy="381000"/>
                        <wp:effectExtent l="19050" t="0" r="952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1571625" cy="381000"/>
                                </a:xfrm>
                                <a:prstGeom prst="rect">
                                  <a:avLst/>
                                </a:prstGeom>
                                <a:noFill/>
                                <a:ln w="9525">
                                  <a:noFill/>
                                  <a:miter lim="800000"/>
                                  <a:headEnd/>
                                  <a:tailEnd/>
                                </a:ln>
                              </pic:spPr>
                            </pic:pic>
                          </a:graphicData>
                        </a:graphic>
                      </wp:inline>
                    </w:drawing>
                  </w:r>
                </w:p>
                <w:p w:rsidR="001455FA" w:rsidRDefault="001455FA">
                  <w:pPr>
                    <w:widowControl w:val="0"/>
                    <w:autoSpaceDE w:val="0"/>
                    <w:autoSpaceDN w:val="0"/>
                    <w:adjustRightInd w:val="0"/>
                    <w:spacing w:after="0" w:line="240" w:lineRule="auto"/>
                    <w:rPr>
                      <w:rFonts w:ascii="Times New Roman" w:hAnsi="Times New Roman"/>
                      <w:sz w:val="24"/>
                      <w:szCs w:val="24"/>
                    </w:rPr>
                  </w:pPr>
                </w:p>
              </w:txbxContent>
            </v:textbox>
            <w10:wrap anchorx="page" anchory="page"/>
          </v:rect>
        </w:pict>
      </w:r>
      <w:r w:rsidR="00F37184" w:rsidRPr="00266892">
        <w:rPr>
          <w:b/>
          <w:noProof/>
          <w:lang w:val="it-IT"/>
        </w:rPr>
        <w:t>COMUNICATO STAMPA</w:t>
      </w:r>
    </w:p>
    <w:p w:rsidR="00CC4592" w:rsidRDefault="00CC4592" w:rsidP="00F37184">
      <w:pPr>
        <w:pStyle w:val="Corpodeltesto3"/>
        <w:jc w:val="center"/>
        <w:rPr>
          <w:b/>
          <w:bCs/>
          <w:spacing w:val="0"/>
          <w:sz w:val="28"/>
          <w:szCs w:val="28"/>
        </w:rPr>
      </w:pPr>
    </w:p>
    <w:p w:rsidR="00CC4592" w:rsidRDefault="00CC4592" w:rsidP="00F37184">
      <w:pPr>
        <w:pStyle w:val="Corpodeltesto3"/>
        <w:jc w:val="center"/>
        <w:rPr>
          <w:b/>
          <w:bCs/>
          <w:spacing w:val="0"/>
          <w:sz w:val="28"/>
          <w:szCs w:val="28"/>
        </w:rPr>
      </w:pPr>
    </w:p>
    <w:p w:rsidR="00A34B13" w:rsidRDefault="00CC4592" w:rsidP="00F37184">
      <w:pPr>
        <w:pStyle w:val="Corpodeltesto3"/>
        <w:jc w:val="center"/>
        <w:rPr>
          <w:b/>
          <w:bCs/>
          <w:spacing w:val="0"/>
          <w:sz w:val="28"/>
          <w:szCs w:val="28"/>
        </w:rPr>
      </w:pPr>
      <w:r>
        <w:rPr>
          <w:b/>
          <w:bCs/>
          <w:spacing w:val="0"/>
          <w:sz w:val="28"/>
          <w:szCs w:val="28"/>
        </w:rPr>
        <w:t xml:space="preserve">Nel 2013 </w:t>
      </w:r>
      <w:r w:rsidR="00241812">
        <w:rPr>
          <w:b/>
          <w:bCs/>
          <w:spacing w:val="0"/>
          <w:sz w:val="28"/>
          <w:szCs w:val="28"/>
        </w:rPr>
        <w:t>i</w:t>
      </w:r>
      <w:r w:rsidR="00A34B13" w:rsidRPr="00F37184">
        <w:rPr>
          <w:b/>
          <w:bCs/>
          <w:spacing w:val="0"/>
          <w:sz w:val="28"/>
          <w:szCs w:val="28"/>
        </w:rPr>
        <w:t>l mercato del PPP nel Lazio cresce nonostante l</w:t>
      </w:r>
      <w:r w:rsidR="00F37184" w:rsidRPr="00F37184">
        <w:rPr>
          <w:b/>
          <w:bCs/>
          <w:spacing w:val="0"/>
          <w:sz w:val="28"/>
          <w:szCs w:val="28"/>
        </w:rPr>
        <w:t>a crisi</w:t>
      </w:r>
      <w:r>
        <w:rPr>
          <w:b/>
          <w:bCs/>
          <w:spacing w:val="0"/>
          <w:sz w:val="28"/>
          <w:szCs w:val="28"/>
        </w:rPr>
        <w:t>:</w:t>
      </w:r>
      <w:r w:rsidR="00F37184" w:rsidRPr="00F37184">
        <w:rPr>
          <w:b/>
          <w:bCs/>
          <w:spacing w:val="0"/>
          <w:sz w:val="28"/>
          <w:szCs w:val="28"/>
        </w:rPr>
        <w:t xml:space="preserve"> </w:t>
      </w:r>
    </w:p>
    <w:p w:rsidR="00CC4592" w:rsidRPr="00F37184" w:rsidRDefault="00CC4592" w:rsidP="00F37184">
      <w:pPr>
        <w:pStyle w:val="Corpodeltesto3"/>
        <w:jc w:val="center"/>
        <w:rPr>
          <w:b/>
          <w:bCs/>
          <w:spacing w:val="0"/>
          <w:sz w:val="28"/>
          <w:szCs w:val="28"/>
        </w:rPr>
      </w:pPr>
      <w:r>
        <w:rPr>
          <w:b/>
          <w:bCs/>
          <w:spacing w:val="0"/>
          <w:sz w:val="28"/>
          <w:szCs w:val="28"/>
        </w:rPr>
        <w:t>aumentano le gare (+4,7%), si impenna il volume d’affari (+102,7%)</w:t>
      </w:r>
    </w:p>
    <w:p w:rsidR="00F37184" w:rsidRDefault="00F37184" w:rsidP="00A34B13">
      <w:pPr>
        <w:pStyle w:val="Corpodeltesto3"/>
      </w:pPr>
    </w:p>
    <w:p w:rsidR="00CC4592" w:rsidRDefault="00CC4592" w:rsidP="00A34B13">
      <w:pPr>
        <w:pStyle w:val="Corpodeltesto3"/>
        <w:rPr>
          <w:i/>
        </w:rPr>
      </w:pPr>
    </w:p>
    <w:p w:rsidR="00CC4592" w:rsidRDefault="00CC4592" w:rsidP="00A34B13">
      <w:pPr>
        <w:pStyle w:val="Corpodeltesto3"/>
        <w:rPr>
          <w:i/>
        </w:rPr>
      </w:pPr>
    </w:p>
    <w:p w:rsidR="00A34B13" w:rsidRPr="008A06D8" w:rsidRDefault="006F7320" w:rsidP="00A34B13">
      <w:pPr>
        <w:pStyle w:val="Corpodeltesto3"/>
      </w:pPr>
      <w:r>
        <w:rPr>
          <w:i/>
        </w:rPr>
        <w:t>Roma, 29</w:t>
      </w:r>
      <w:r w:rsidR="00CC4592" w:rsidRPr="008A06D8">
        <w:rPr>
          <w:i/>
        </w:rPr>
        <w:t xml:space="preserve"> aprile 2014</w:t>
      </w:r>
      <w:r w:rsidR="00CC4592" w:rsidRPr="008A06D8">
        <w:t xml:space="preserve"> - </w:t>
      </w:r>
      <w:r w:rsidR="00A34B13" w:rsidRPr="008A06D8">
        <w:t>In base agli ultimi dati disponibili dell’Osservatorio regionale del Partenariato Pubblico Privato (</w:t>
      </w:r>
      <w:r w:rsidR="00A34B13" w:rsidRPr="008A06D8">
        <w:rPr>
          <w:rStyle w:val="CitazioneHTML"/>
          <w:i/>
          <w:iCs/>
          <w:color w:val="auto"/>
        </w:rPr>
        <w:t>www.siop-lazio.it</w:t>
      </w:r>
      <w:r w:rsidR="00A34B13" w:rsidRPr="008A06D8">
        <w:t>), nel 2013</w:t>
      </w:r>
      <w:r w:rsidR="00CC4592" w:rsidRPr="008A06D8">
        <w:t>,</w:t>
      </w:r>
      <w:r w:rsidR="00A34B13" w:rsidRPr="008A06D8">
        <w:t xml:space="preserve"> nel Lazio</w:t>
      </w:r>
      <w:r w:rsidR="00CC4592" w:rsidRPr="008A06D8">
        <w:t>,</w:t>
      </w:r>
      <w:r w:rsidR="00A34B13" w:rsidRPr="008A06D8">
        <w:t xml:space="preserve"> il mercato del PPP </w:t>
      </w:r>
      <w:r w:rsidR="00CC4592" w:rsidRPr="008A06D8">
        <w:t>ha registrato un totale di</w:t>
      </w:r>
      <w:r w:rsidR="00A34B13" w:rsidRPr="008A06D8">
        <w:t xml:space="preserve"> 156 gare (il valore più alto dal 2002), per un volume d’affari di 358 milioni (un valore superato solo nel 2011 e nel 2009).</w:t>
      </w:r>
      <w:r w:rsidR="00A92F8A">
        <w:rPr>
          <w:b/>
        </w:rPr>
        <w:t xml:space="preserve"> Rispetto al 2012</w:t>
      </w:r>
      <w:r w:rsidR="00A34B13" w:rsidRPr="008A06D8">
        <w:rPr>
          <w:b/>
        </w:rPr>
        <w:t xml:space="preserve"> il bilancio è </w:t>
      </w:r>
      <w:r w:rsidR="00CC4592" w:rsidRPr="008A06D8">
        <w:rPr>
          <w:b/>
        </w:rPr>
        <w:t xml:space="preserve">in </w:t>
      </w:r>
      <w:r w:rsidR="00A34B13" w:rsidRPr="008A06D8">
        <w:rPr>
          <w:b/>
        </w:rPr>
        <w:t xml:space="preserve">crescita: +4,7% il numero di gare, </w:t>
      </w:r>
      <w:r w:rsidR="00266892" w:rsidRPr="008A06D8">
        <w:rPr>
          <w:b/>
        </w:rPr>
        <w:t xml:space="preserve">che passano </w:t>
      </w:r>
      <w:r w:rsidR="00A34B13" w:rsidRPr="008A06D8">
        <w:rPr>
          <w:b/>
        </w:rPr>
        <w:t xml:space="preserve">da 149 a 156; </w:t>
      </w:r>
      <w:r w:rsidR="00CC4592" w:rsidRPr="008A06D8">
        <w:rPr>
          <w:b/>
        </w:rPr>
        <w:t xml:space="preserve">addirittura </w:t>
      </w:r>
      <w:r w:rsidR="00A34B13" w:rsidRPr="008A06D8">
        <w:rPr>
          <w:b/>
        </w:rPr>
        <w:t>+102,7% il volume d’affari, passato da circa 177 milioni a oltre 358 milioni</w:t>
      </w:r>
      <w:r w:rsidR="00A92F8A">
        <w:rPr>
          <w:b/>
        </w:rPr>
        <w:t xml:space="preserve"> di euro</w:t>
      </w:r>
      <w:r w:rsidR="00A34B13" w:rsidRPr="008A06D8">
        <w:rPr>
          <w:b/>
        </w:rPr>
        <w:t xml:space="preserve">. </w:t>
      </w:r>
      <w:r w:rsidR="00CC4592" w:rsidRPr="008A06D8">
        <w:t>Ri</w:t>
      </w:r>
      <w:r w:rsidR="00A34B13" w:rsidRPr="008A06D8">
        <w:t xml:space="preserve">sultati </w:t>
      </w:r>
      <w:r w:rsidR="00CC4592" w:rsidRPr="008A06D8">
        <w:t>che sono</w:t>
      </w:r>
      <w:r w:rsidR="00A34B13" w:rsidRPr="008A06D8">
        <w:t xml:space="preserve"> in controtendenza con la frenata che si rileva</w:t>
      </w:r>
      <w:r w:rsidR="00CC4592" w:rsidRPr="008A06D8">
        <w:t xml:space="preserve"> a livello nazionale: -5% </w:t>
      </w:r>
      <w:r w:rsidR="00A34B13" w:rsidRPr="008A06D8">
        <w:t xml:space="preserve">il numero </w:t>
      </w:r>
      <w:r w:rsidR="00CC4592" w:rsidRPr="008A06D8">
        <w:t>complessivo delle gare e</w:t>
      </w:r>
      <w:r w:rsidR="00A34B13" w:rsidRPr="008A06D8">
        <w:t xml:space="preserve"> -34% </w:t>
      </w:r>
      <w:r w:rsidR="00CC4592" w:rsidRPr="008A06D8">
        <w:t xml:space="preserve">il dato sugli </w:t>
      </w:r>
      <w:r w:rsidR="00A34B13" w:rsidRPr="008A06D8">
        <w:t>gli importi.</w:t>
      </w:r>
    </w:p>
    <w:p w:rsidR="00A34B13" w:rsidRPr="008A06D8" w:rsidRDefault="00A34B13" w:rsidP="00A34B13">
      <w:pPr>
        <w:pStyle w:val="Corpodeltesto3"/>
      </w:pPr>
      <w:r w:rsidRPr="008A06D8">
        <w:t>Nel Lazio</w:t>
      </w:r>
      <w:r w:rsidR="00CC4592" w:rsidRPr="008A06D8">
        <w:t>,</w:t>
      </w:r>
      <w:r w:rsidRPr="008A06D8">
        <w:t xml:space="preserve"> quindi</w:t>
      </w:r>
      <w:r w:rsidR="00CC4592" w:rsidRPr="008A06D8">
        <w:t>,</w:t>
      </w:r>
      <w:r w:rsidRPr="008A06D8">
        <w:t xml:space="preserve"> la domanda di PPP nel 2013 cresce e i motori trainanti sono le gare delle Amministrazioni locali, in primo luogo i Comuni, per interventi nei settori commercio e artigianato, strutture cimiteriali, impianti sportivi, edilizia scolastica e ambiente. </w:t>
      </w:r>
    </w:p>
    <w:p w:rsidR="00A34B13" w:rsidRPr="008A06D8" w:rsidRDefault="00A34B13" w:rsidP="00A34B13">
      <w:pPr>
        <w:pStyle w:val="Corpodeltesto3"/>
      </w:pPr>
      <w:r w:rsidRPr="008A06D8">
        <w:t xml:space="preserve">La crescita del mercato del PPP in atto a livello regionale, nel 2013, si avverte anche rispetto all’incidenza del PPP sull’intero mercato delle opere pubbliche, arrivata a rappresentare il 23% in termini di numero di opportunità, la quota più alta registrata dal 2002 (anno in cui rappresentava meno dell’1% delle opportunità). Significativa anche l’incidenza per importo, pari a circa il 29%, nonostante non raggiunga il livello record del 77% </w:t>
      </w:r>
      <w:r w:rsidR="00266892" w:rsidRPr="008A06D8">
        <w:t xml:space="preserve">del </w:t>
      </w:r>
      <w:r w:rsidRPr="008A06D8">
        <w:t>2011</w:t>
      </w:r>
      <w:r w:rsidR="00567EFD" w:rsidRPr="008A06D8">
        <w:t>,</w:t>
      </w:r>
      <w:bookmarkStart w:id="0" w:name="_GoBack"/>
      <w:bookmarkEnd w:id="0"/>
      <w:r w:rsidRPr="008A06D8">
        <w:t xml:space="preserve"> grazie alla presenza di due maxi gare (autostrada Roma-Latina e servizio gas di Roma Capitale).</w:t>
      </w:r>
    </w:p>
    <w:p w:rsidR="00A34B13" w:rsidRPr="008A06D8" w:rsidRDefault="00A34B13" w:rsidP="00A34B13">
      <w:pPr>
        <w:pStyle w:val="Corpodeltesto3"/>
        <w:rPr>
          <w:b/>
          <w:bCs/>
          <w:spacing w:val="0"/>
          <w:u w:val="single"/>
        </w:rPr>
      </w:pPr>
    </w:p>
    <w:p w:rsidR="00A34B13" w:rsidRPr="008A06D8" w:rsidRDefault="00A34B13" w:rsidP="00A34B13">
      <w:pPr>
        <w:pStyle w:val="Corpodeltesto3"/>
        <w:rPr>
          <w:b/>
          <w:bCs/>
          <w:spacing w:val="0"/>
          <w:u w:val="single"/>
        </w:rPr>
      </w:pPr>
      <w:r w:rsidRPr="008A06D8">
        <w:rPr>
          <w:b/>
          <w:bCs/>
          <w:spacing w:val="0"/>
          <w:u w:val="single"/>
        </w:rPr>
        <w:t>Territori: Lazio decima per numero di opportunità e ottava per investimento in Italia</w:t>
      </w:r>
    </w:p>
    <w:p w:rsidR="00A34B13" w:rsidRPr="008A06D8" w:rsidRDefault="00A34B13" w:rsidP="00A34B13">
      <w:pPr>
        <w:pStyle w:val="Corpodeltesto3"/>
      </w:pPr>
      <w:r w:rsidRPr="008A06D8">
        <w:rPr>
          <w:b/>
        </w:rPr>
        <w:t>Rispetto all’intero mercato nazionale</w:t>
      </w:r>
      <w:r w:rsidRPr="008A06D8">
        <w:t xml:space="preserve">, nel 2013, il Lazio con 156 interventi in gara, contro una media regionale italiana di 149, si colloca al decimo posto nella classifica per numero di gare, stessa posizione che occupava nel 2012. Nella classifica per volume d’affari si colloca all’ottavo, con 358 milioni contro una media regionale italiana di 252 milioni. Un anno prima occupava la settima posizione. </w:t>
      </w:r>
    </w:p>
    <w:p w:rsidR="00A34B13" w:rsidRPr="008A06D8" w:rsidRDefault="00A34B13" w:rsidP="00A34B13">
      <w:pPr>
        <w:pStyle w:val="Corpodeltesto3"/>
        <w:spacing w:line="240" w:lineRule="exact"/>
        <w:rPr>
          <w:sz w:val="16"/>
          <w:szCs w:val="16"/>
        </w:rPr>
      </w:pPr>
    </w:p>
    <w:p w:rsidR="00A34B13" w:rsidRPr="008A06D8" w:rsidRDefault="00B13BD8" w:rsidP="00A34B13">
      <w:pPr>
        <w:pStyle w:val="Corpodeltesto22"/>
        <w:suppressAutoHyphens w:val="0"/>
        <w:autoSpaceDE w:val="0"/>
        <w:autoSpaceDN w:val="0"/>
        <w:rPr>
          <w:color w:val="auto"/>
          <w:lang w:eastAsia="it-IT"/>
        </w:rPr>
      </w:pPr>
      <w:r w:rsidRPr="008A06D8">
        <w:rPr>
          <w:b/>
          <w:color w:val="auto"/>
          <w:lang w:eastAsia="it-IT"/>
        </w:rPr>
        <w:t>Segmenti di mercato: l</w:t>
      </w:r>
      <w:r w:rsidR="00A34B13" w:rsidRPr="008A06D8">
        <w:rPr>
          <w:b/>
          <w:color w:val="auto"/>
          <w:lang w:eastAsia="it-IT"/>
        </w:rPr>
        <w:t>e concessioni di servizi, nel 2013</w:t>
      </w:r>
      <w:r w:rsidR="00A34B13" w:rsidRPr="008A06D8">
        <w:rPr>
          <w:color w:val="auto"/>
          <w:lang w:eastAsia="it-IT"/>
        </w:rPr>
        <w:t>, sono prime per numero di opportunità, con 123 gare, pari al 79% del mercato regionale. Un anno prima, con 96 gare, rappresentavano il 64%.</w:t>
      </w:r>
    </w:p>
    <w:p w:rsidR="00A34B13" w:rsidRPr="008A06D8" w:rsidRDefault="00A34B13" w:rsidP="00A34B13">
      <w:pPr>
        <w:pStyle w:val="Corpodeltesto22"/>
        <w:suppressAutoHyphens w:val="0"/>
        <w:autoSpaceDE w:val="0"/>
        <w:autoSpaceDN w:val="0"/>
        <w:rPr>
          <w:color w:val="auto"/>
          <w:lang w:eastAsia="it-IT"/>
        </w:rPr>
      </w:pPr>
      <w:r w:rsidRPr="008A06D8">
        <w:rPr>
          <w:color w:val="auto"/>
          <w:lang w:eastAsia="it-IT"/>
        </w:rPr>
        <w:lastRenderedPageBreak/>
        <w:t xml:space="preserve">Dal lato dell’importo sono prime le altre gare di PPP che, con 173 milioni, assorbono circa il 48% del valore del mercato regionale del PPP (era il 10% nel 2012). </w:t>
      </w:r>
    </w:p>
    <w:p w:rsidR="00A34B13" w:rsidRPr="008A06D8" w:rsidRDefault="00A34B13" w:rsidP="00A34B13">
      <w:pPr>
        <w:pStyle w:val="Corpodeltesto22"/>
        <w:suppressAutoHyphens w:val="0"/>
        <w:autoSpaceDE w:val="0"/>
        <w:autoSpaceDN w:val="0"/>
        <w:rPr>
          <w:color w:val="auto"/>
          <w:lang w:eastAsia="it-IT"/>
        </w:rPr>
      </w:pPr>
      <w:r w:rsidRPr="008A06D8">
        <w:rPr>
          <w:color w:val="auto"/>
          <w:lang w:eastAsia="it-IT"/>
        </w:rPr>
        <w:t>Quote inferiori spettano alle concessioni di lavori pubblici (17% per numero e 35% per valore), mentre non sono state indette gare d</w:t>
      </w:r>
      <w:r w:rsidR="001743A5">
        <w:rPr>
          <w:color w:val="auto"/>
          <w:lang w:eastAsia="it-IT"/>
        </w:rPr>
        <w:t>i locazione finanziaria di opere pubbliche,</w:t>
      </w:r>
      <w:r w:rsidRPr="008A06D8">
        <w:rPr>
          <w:color w:val="auto"/>
          <w:lang w:eastAsia="it-IT"/>
        </w:rPr>
        <w:t xml:space="preserve"> ovvero di leasing immobiliare in costruendo.</w:t>
      </w:r>
    </w:p>
    <w:p w:rsidR="00A34B13" w:rsidRPr="008A06D8" w:rsidRDefault="00A34B13" w:rsidP="00A34B13">
      <w:pPr>
        <w:pStyle w:val="Corpodeltesto3"/>
        <w:autoSpaceDE w:val="0"/>
        <w:autoSpaceDN w:val="0"/>
      </w:pPr>
    </w:p>
    <w:p w:rsidR="00A34B13" w:rsidRPr="008A06D8" w:rsidRDefault="00A34B13" w:rsidP="00A34B13">
      <w:pPr>
        <w:pStyle w:val="Corpodeltesto3"/>
        <w:rPr>
          <w:b/>
          <w:bCs/>
          <w:spacing w:val="0"/>
          <w:u w:val="single"/>
        </w:rPr>
      </w:pPr>
      <w:r w:rsidRPr="008A06D8">
        <w:rPr>
          <w:b/>
          <w:bCs/>
          <w:spacing w:val="0"/>
          <w:u w:val="single"/>
        </w:rPr>
        <w:t>Mercati provinciali: il PPP diffuso in tutto il territorio regionale</w:t>
      </w:r>
    </w:p>
    <w:p w:rsidR="00A34B13" w:rsidRPr="006F7320" w:rsidRDefault="00A34B13" w:rsidP="00A34B13">
      <w:pPr>
        <w:pStyle w:val="Corpodeltesto22"/>
        <w:suppressAutoHyphens w:val="0"/>
        <w:autoSpaceDE w:val="0"/>
        <w:autoSpaceDN w:val="0"/>
        <w:rPr>
          <w:color w:val="auto"/>
          <w:spacing w:val="-2"/>
          <w:lang w:eastAsia="it-IT"/>
        </w:rPr>
      </w:pPr>
      <w:r w:rsidRPr="008A06D8">
        <w:rPr>
          <w:color w:val="auto"/>
          <w:spacing w:val="-2"/>
          <w:lang w:eastAsia="it-IT"/>
        </w:rPr>
        <w:t xml:space="preserve">La distribuzione territoriale delle gare di PPP censite nel 2013 nelle cinque province del Lazio mostra </w:t>
      </w:r>
      <w:r w:rsidRPr="008A06D8">
        <w:rPr>
          <w:b/>
          <w:color w:val="auto"/>
          <w:spacing w:val="-2"/>
          <w:lang w:eastAsia="it-IT"/>
        </w:rPr>
        <w:t xml:space="preserve">un’intensa attività </w:t>
      </w:r>
      <w:r w:rsidR="00CC4592" w:rsidRPr="008A06D8">
        <w:rPr>
          <w:b/>
          <w:color w:val="auto"/>
          <w:spacing w:val="-2"/>
          <w:lang w:eastAsia="it-IT"/>
        </w:rPr>
        <w:t>in quella</w:t>
      </w:r>
      <w:r w:rsidRPr="008A06D8">
        <w:rPr>
          <w:b/>
          <w:color w:val="auto"/>
          <w:spacing w:val="-2"/>
          <w:lang w:eastAsia="it-IT"/>
        </w:rPr>
        <w:t xml:space="preserve"> di Roma,</w:t>
      </w:r>
      <w:r w:rsidRPr="008A06D8">
        <w:rPr>
          <w:color w:val="auto"/>
          <w:spacing w:val="-2"/>
          <w:lang w:eastAsia="it-IT"/>
        </w:rPr>
        <w:t xml:space="preserve"> dove si concentra il 56% delle opportunità per numero e il 43% del volume d’affari in gar</w:t>
      </w:r>
      <w:r w:rsidR="00CC4592" w:rsidRPr="008A06D8">
        <w:rPr>
          <w:color w:val="auto"/>
          <w:spacing w:val="-2"/>
          <w:lang w:eastAsia="it-IT"/>
        </w:rPr>
        <w:t xml:space="preserve">a. </w:t>
      </w:r>
      <w:r w:rsidRPr="008A06D8">
        <w:rPr>
          <w:color w:val="auto"/>
          <w:spacing w:val="-2"/>
          <w:lang w:eastAsia="it-IT"/>
        </w:rPr>
        <w:t xml:space="preserve">Fanno riferimento al territorio del comune di Roma 28 gare per </w:t>
      </w:r>
      <w:r w:rsidR="00B13BD8" w:rsidRPr="008A06D8">
        <w:rPr>
          <w:color w:val="auto"/>
          <w:spacing w:val="-2"/>
          <w:lang w:eastAsia="it-IT"/>
        </w:rPr>
        <w:t xml:space="preserve">un valore di </w:t>
      </w:r>
      <w:r w:rsidRPr="008A06D8">
        <w:rPr>
          <w:color w:val="auto"/>
          <w:spacing w:val="-2"/>
          <w:lang w:eastAsia="it-IT"/>
        </w:rPr>
        <w:t xml:space="preserve">26 milioni di euro, mentre riguardano il resto della provincia di Roma 59 iniziative per 129 milioni di euro. In testa </w:t>
      </w:r>
      <w:r w:rsidR="00B13BD8" w:rsidRPr="008A06D8">
        <w:rPr>
          <w:color w:val="auto"/>
          <w:spacing w:val="-2"/>
          <w:lang w:eastAsia="it-IT"/>
        </w:rPr>
        <w:t xml:space="preserve">alla classifica, </w:t>
      </w:r>
      <w:r w:rsidRPr="008A06D8">
        <w:rPr>
          <w:color w:val="auto"/>
          <w:spacing w:val="-2"/>
          <w:lang w:eastAsia="it-IT"/>
        </w:rPr>
        <w:t>per importo</w:t>
      </w:r>
      <w:r w:rsidR="00B13BD8" w:rsidRPr="008A06D8">
        <w:rPr>
          <w:color w:val="auto"/>
          <w:spacing w:val="-2"/>
          <w:lang w:eastAsia="it-IT"/>
        </w:rPr>
        <w:t>,</w:t>
      </w:r>
      <w:r w:rsidRPr="008A06D8">
        <w:rPr>
          <w:color w:val="auto"/>
          <w:spacing w:val="-2"/>
          <w:lang w:eastAsia="it-IT"/>
        </w:rPr>
        <w:t xml:space="preserve"> troviamo però la provincia di Riet</w:t>
      </w:r>
      <w:r w:rsidR="00A92F8A">
        <w:rPr>
          <w:color w:val="auto"/>
          <w:spacing w:val="-2"/>
          <w:lang w:eastAsia="it-IT"/>
        </w:rPr>
        <w:t>i con circa 176 milioni, pari a</w:t>
      </w:r>
      <w:r w:rsidRPr="008A06D8">
        <w:rPr>
          <w:color w:val="auto"/>
          <w:spacing w:val="-2"/>
          <w:lang w:eastAsia="it-IT"/>
        </w:rPr>
        <w:t xml:space="preserve"> una quota del 49%, di cui oltre 166 relativi alla gara </w:t>
      </w:r>
      <w:r w:rsidR="001743A5">
        <w:rPr>
          <w:color w:val="auto"/>
          <w:spacing w:val="-2"/>
          <w:lang w:eastAsia="it-IT"/>
        </w:rPr>
        <w:t>per la s</w:t>
      </w:r>
      <w:r w:rsidR="00B13BD8" w:rsidRPr="008A06D8">
        <w:rPr>
          <w:color w:val="auto"/>
          <w:spacing w:val="-2"/>
          <w:lang w:eastAsia="it-IT"/>
        </w:rPr>
        <w:t xml:space="preserve">elezione del socio privato partner industriale non stabile </w:t>
      </w:r>
      <w:r w:rsidR="00B13BD8" w:rsidRPr="006F7320">
        <w:rPr>
          <w:color w:val="auto"/>
          <w:spacing w:val="-2"/>
          <w:lang w:eastAsia="it-IT"/>
        </w:rPr>
        <w:t>della S.A.PRO.DI.R. Srl (Servizi ambientali Provincia di Rieti).</w:t>
      </w:r>
    </w:p>
    <w:p w:rsidR="00A34B13" w:rsidRPr="008A06D8" w:rsidRDefault="00A34B13" w:rsidP="00A34B13">
      <w:pPr>
        <w:pStyle w:val="Corpodeltesto22"/>
        <w:suppressAutoHyphens w:val="0"/>
        <w:autoSpaceDE w:val="0"/>
        <w:autoSpaceDN w:val="0"/>
        <w:rPr>
          <w:color w:val="auto"/>
          <w:spacing w:val="-2"/>
          <w:lang w:eastAsia="it-IT"/>
        </w:rPr>
      </w:pPr>
      <w:r w:rsidRPr="006F7320">
        <w:rPr>
          <w:color w:val="auto"/>
          <w:spacing w:val="-2"/>
          <w:lang w:eastAsia="it-IT"/>
        </w:rPr>
        <w:t>Bilancio a doppia velocità per i mercati di Frosinone e Viterbo, mentre Latina è invariata per numero</w:t>
      </w:r>
      <w:r w:rsidR="00B13BD8" w:rsidRPr="006F7320">
        <w:rPr>
          <w:color w:val="auto"/>
          <w:spacing w:val="-2"/>
          <w:lang w:eastAsia="it-IT"/>
        </w:rPr>
        <w:t xml:space="preserve"> (19)</w:t>
      </w:r>
      <w:r w:rsidRPr="006F7320">
        <w:rPr>
          <w:color w:val="auto"/>
          <w:spacing w:val="-2"/>
          <w:lang w:eastAsia="it-IT"/>
        </w:rPr>
        <w:t xml:space="preserve"> ma in calo per valore. Da segnalare la gara indetta da Infratel Spa per la concessi</w:t>
      </w:r>
      <w:r w:rsidR="006F7320" w:rsidRPr="006F7320">
        <w:rPr>
          <w:color w:val="auto"/>
          <w:spacing w:val="-2"/>
          <w:lang w:eastAsia="it-IT"/>
        </w:rPr>
        <w:t>one</w:t>
      </w:r>
      <w:r w:rsidR="006F7320">
        <w:rPr>
          <w:color w:val="auto"/>
          <w:spacing w:val="-2"/>
          <w:lang w:eastAsia="it-IT"/>
        </w:rPr>
        <w:t xml:space="preserve"> di un contributo pubblico a</w:t>
      </w:r>
      <w:r w:rsidRPr="008A06D8">
        <w:rPr>
          <w:color w:val="auto"/>
          <w:spacing w:val="-2"/>
          <w:lang w:eastAsia="it-IT"/>
        </w:rPr>
        <w:t xml:space="preserve"> un progetto di investimento finalizzato alla realizzazione di una rete a banda larga nella Regione Lazio, che riguarda tutto il territorio regionale. </w:t>
      </w:r>
    </w:p>
    <w:p w:rsidR="00A34B13" w:rsidRPr="008A06D8" w:rsidRDefault="00A34B13" w:rsidP="00A34B13">
      <w:pPr>
        <w:pStyle w:val="Corpodeltesto3"/>
        <w:rPr>
          <w:b/>
          <w:bCs/>
          <w:spacing w:val="0"/>
        </w:rPr>
      </w:pPr>
    </w:p>
    <w:p w:rsidR="00A34B13" w:rsidRPr="008A06D8" w:rsidRDefault="00A34B13" w:rsidP="00A34B13">
      <w:pPr>
        <w:pStyle w:val="Corpodeltesto22"/>
        <w:suppressAutoHyphens w:val="0"/>
        <w:autoSpaceDE w:val="0"/>
        <w:autoSpaceDN w:val="0"/>
        <w:rPr>
          <w:color w:val="auto"/>
          <w:sz w:val="22"/>
          <w:szCs w:val="22"/>
        </w:rPr>
      </w:pPr>
      <w:r w:rsidRPr="006F7320">
        <w:rPr>
          <w:color w:val="auto"/>
          <w:spacing w:val="-2"/>
          <w:lang w:eastAsia="it-IT"/>
        </w:rPr>
        <w:t>Rispetto alla committenza, il mercato del PPP del Lazio nel 2013 è formato principalmente dalla domanda dei Comuni e delle Province. Alle</w:t>
      </w:r>
      <w:r w:rsidRPr="008A06D8">
        <w:rPr>
          <w:color w:val="auto"/>
          <w:spacing w:val="-2"/>
          <w:lang w:eastAsia="it-IT"/>
        </w:rPr>
        <w:t xml:space="preserve"> Amministrazioni comunali, con 108 gare per 169 milioni, spetta il 69% del mercato del PPP regionale per numero di opportunità e il 47% per importi. Il confronto con la domanda espressa dai Comuni nel 2012, mostra un bilancio a doppia velocità: il numero di opportunità segna un -9% (si passa da 119 gare a 108) ma il volume d’affari registra una crescita del 57% (da 107 milioni a 169 milioni). Da segnalare </w:t>
      </w:r>
      <w:r w:rsidR="00B13BD8" w:rsidRPr="008A06D8">
        <w:rPr>
          <w:color w:val="auto"/>
          <w:spacing w:val="-2"/>
          <w:lang w:eastAsia="it-IT"/>
        </w:rPr>
        <w:t xml:space="preserve">anche </w:t>
      </w:r>
      <w:r w:rsidRPr="008A06D8">
        <w:rPr>
          <w:color w:val="auto"/>
          <w:spacing w:val="-2"/>
          <w:lang w:eastAsia="it-IT"/>
        </w:rPr>
        <w:t>l’attività delle Province a cui spettano quote del 4% per numero e del 47% per importo, grazie principalmente alla maxi gara indetta dalla Provincia di Rieti</w:t>
      </w:r>
      <w:r w:rsidRPr="008A06D8">
        <w:rPr>
          <w:color w:val="auto"/>
          <w:sz w:val="22"/>
          <w:szCs w:val="22"/>
        </w:rPr>
        <w:t>.</w:t>
      </w:r>
    </w:p>
    <w:p w:rsidR="00B53751" w:rsidRPr="008A06D8" w:rsidRDefault="00B53751" w:rsidP="00A34B13">
      <w:pPr>
        <w:pStyle w:val="Corpodeltesto22"/>
        <w:suppressAutoHyphens w:val="0"/>
        <w:autoSpaceDE w:val="0"/>
        <w:autoSpaceDN w:val="0"/>
        <w:rPr>
          <w:color w:val="auto"/>
          <w:sz w:val="22"/>
          <w:szCs w:val="22"/>
        </w:rPr>
      </w:pPr>
    </w:p>
    <w:p w:rsidR="00B53751" w:rsidRPr="008A06D8" w:rsidRDefault="007D7EF3" w:rsidP="00A34B13">
      <w:pPr>
        <w:pStyle w:val="Corpodeltesto22"/>
        <w:suppressAutoHyphens w:val="0"/>
        <w:autoSpaceDE w:val="0"/>
        <w:autoSpaceDN w:val="0"/>
        <w:rPr>
          <w:b/>
          <w:i/>
          <w:color w:val="auto"/>
          <w:sz w:val="22"/>
          <w:szCs w:val="22"/>
        </w:rPr>
      </w:pPr>
      <w:r w:rsidRPr="008A06D8">
        <w:rPr>
          <w:b/>
          <w:i/>
          <w:color w:val="auto"/>
          <w:sz w:val="22"/>
          <w:szCs w:val="22"/>
        </w:rPr>
        <w:t>Il</w:t>
      </w:r>
      <w:r w:rsidR="00B22AC9" w:rsidRPr="008A06D8">
        <w:rPr>
          <w:b/>
          <w:i/>
          <w:color w:val="auto"/>
          <w:sz w:val="22"/>
          <w:szCs w:val="22"/>
        </w:rPr>
        <w:t xml:space="preserve"> rapporto integrale è disponibile sul</w:t>
      </w:r>
      <w:r w:rsidR="006F7320">
        <w:rPr>
          <w:b/>
          <w:i/>
          <w:color w:val="auto"/>
          <w:sz w:val="22"/>
          <w:szCs w:val="22"/>
        </w:rPr>
        <w:t xml:space="preserve"> sito: www.siop-lazio.it.</w:t>
      </w:r>
    </w:p>
    <w:p w:rsidR="00CE22CC" w:rsidRPr="008A06D8" w:rsidRDefault="00CE22CC" w:rsidP="00A34B13">
      <w:pPr>
        <w:pStyle w:val="Corpodeltesto22"/>
        <w:suppressAutoHyphens w:val="0"/>
        <w:autoSpaceDE w:val="0"/>
        <w:autoSpaceDN w:val="0"/>
        <w:rPr>
          <w:color w:val="auto"/>
          <w:sz w:val="22"/>
          <w:szCs w:val="22"/>
        </w:rPr>
      </w:pPr>
    </w:p>
    <w:p w:rsidR="00CE22CC" w:rsidRPr="008A06D8" w:rsidRDefault="00CE22CC" w:rsidP="00A34B13">
      <w:pPr>
        <w:pStyle w:val="Corpodeltesto22"/>
        <w:suppressAutoHyphens w:val="0"/>
        <w:autoSpaceDE w:val="0"/>
        <w:autoSpaceDN w:val="0"/>
        <w:rPr>
          <w:color w:val="auto"/>
          <w:sz w:val="22"/>
          <w:szCs w:val="22"/>
        </w:rPr>
      </w:pPr>
    </w:p>
    <w:p w:rsidR="00CE22CC" w:rsidRPr="008A06D8" w:rsidRDefault="00CE22CC" w:rsidP="00A34B13">
      <w:pPr>
        <w:pStyle w:val="Corpodeltesto22"/>
        <w:suppressAutoHyphens w:val="0"/>
        <w:autoSpaceDE w:val="0"/>
        <w:autoSpaceDN w:val="0"/>
        <w:rPr>
          <w:color w:val="auto"/>
          <w:sz w:val="22"/>
          <w:szCs w:val="22"/>
        </w:rPr>
      </w:pPr>
    </w:p>
    <w:p w:rsidR="00CE22CC" w:rsidRPr="008A06D8" w:rsidRDefault="00CE22CC" w:rsidP="00A34B13">
      <w:pPr>
        <w:pStyle w:val="Corpodeltesto22"/>
        <w:suppressAutoHyphens w:val="0"/>
        <w:autoSpaceDE w:val="0"/>
        <w:autoSpaceDN w:val="0"/>
        <w:rPr>
          <w:color w:val="auto"/>
          <w:sz w:val="22"/>
          <w:szCs w:val="22"/>
        </w:rPr>
      </w:pPr>
    </w:p>
    <w:p w:rsidR="00CE22CC" w:rsidRPr="008A06D8" w:rsidRDefault="00CE22CC" w:rsidP="00A34B13">
      <w:pPr>
        <w:pStyle w:val="Corpodeltesto22"/>
        <w:suppressAutoHyphens w:val="0"/>
        <w:autoSpaceDE w:val="0"/>
        <w:autoSpaceDN w:val="0"/>
        <w:rPr>
          <w:color w:val="auto"/>
          <w:sz w:val="22"/>
          <w:szCs w:val="22"/>
        </w:rPr>
      </w:pPr>
    </w:p>
    <w:p w:rsidR="00CE22CC" w:rsidRPr="008A06D8" w:rsidRDefault="00CE22CC" w:rsidP="00A34B13">
      <w:pPr>
        <w:pStyle w:val="Corpodeltesto22"/>
        <w:suppressAutoHyphens w:val="0"/>
        <w:autoSpaceDE w:val="0"/>
        <w:autoSpaceDN w:val="0"/>
        <w:rPr>
          <w:color w:val="auto"/>
          <w:sz w:val="22"/>
          <w:szCs w:val="22"/>
        </w:rPr>
      </w:pPr>
    </w:p>
    <w:p w:rsidR="00CE22CC" w:rsidRPr="008A06D8" w:rsidRDefault="00CE22CC" w:rsidP="00A34B13">
      <w:pPr>
        <w:pStyle w:val="Corpodeltesto22"/>
        <w:suppressAutoHyphens w:val="0"/>
        <w:autoSpaceDE w:val="0"/>
        <w:autoSpaceDN w:val="0"/>
        <w:rPr>
          <w:color w:val="auto"/>
          <w:sz w:val="22"/>
          <w:szCs w:val="22"/>
        </w:rPr>
      </w:pPr>
    </w:p>
    <w:p w:rsidR="00CE22CC" w:rsidRPr="008A06D8" w:rsidRDefault="00CE22CC" w:rsidP="00A34B13">
      <w:pPr>
        <w:pStyle w:val="Corpodeltesto22"/>
        <w:suppressAutoHyphens w:val="0"/>
        <w:autoSpaceDE w:val="0"/>
        <w:autoSpaceDN w:val="0"/>
        <w:rPr>
          <w:color w:val="auto"/>
          <w:sz w:val="22"/>
          <w:szCs w:val="22"/>
        </w:rPr>
      </w:pPr>
    </w:p>
    <w:p w:rsidR="00CE22CC" w:rsidRPr="008A06D8" w:rsidRDefault="00CE22CC" w:rsidP="00A34B13">
      <w:pPr>
        <w:pStyle w:val="Corpodeltesto22"/>
        <w:suppressAutoHyphens w:val="0"/>
        <w:autoSpaceDE w:val="0"/>
        <w:autoSpaceDN w:val="0"/>
        <w:rPr>
          <w:color w:val="auto"/>
          <w:sz w:val="22"/>
          <w:szCs w:val="22"/>
        </w:rPr>
      </w:pPr>
    </w:p>
    <w:p w:rsidR="00CE22CC" w:rsidRPr="008A06D8" w:rsidRDefault="00CE22CC" w:rsidP="00A34B13">
      <w:pPr>
        <w:pStyle w:val="Corpodeltesto22"/>
        <w:suppressAutoHyphens w:val="0"/>
        <w:autoSpaceDE w:val="0"/>
        <w:autoSpaceDN w:val="0"/>
        <w:rPr>
          <w:color w:val="auto"/>
          <w:sz w:val="22"/>
          <w:szCs w:val="22"/>
        </w:rPr>
      </w:pPr>
    </w:p>
    <w:p w:rsidR="00CE22CC" w:rsidRPr="008A06D8" w:rsidRDefault="00CE22CC" w:rsidP="00CE22CC">
      <w:pPr>
        <w:jc w:val="center"/>
        <w:rPr>
          <w:sz w:val="20"/>
          <w:lang w:val="it-IT"/>
        </w:rPr>
      </w:pPr>
    </w:p>
    <w:p w:rsidR="00CE22CC" w:rsidRPr="008A06D8" w:rsidRDefault="00CE22CC" w:rsidP="00CE22CC">
      <w:pPr>
        <w:jc w:val="center"/>
        <w:rPr>
          <w:sz w:val="20"/>
          <w:lang w:val="it-IT"/>
        </w:rPr>
      </w:pPr>
    </w:p>
    <w:p w:rsidR="00CE22CC" w:rsidRPr="008A06D8" w:rsidRDefault="00CE22CC" w:rsidP="001743A5">
      <w:pPr>
        <w:jc w:val="center"/>
      </w:pPr>
      <w:r w:rsidRPr="008A06D8">
        <w:rPr>
          <w:sz w:val="20"/>
          <w:lang w:val="it-IT"/>
        </w:rPr>
        <w:t xml:space="preserve">Ufficio Stampa c/o Camera di Commercio di Roma - Tel. 06 6781178 - </w:t>
      </w:r>
      <w:hyperlink r:id="rId7" w:history="1">
        <w:r w:rsidRPr="008A06D8">
          <w:rPr>
            <w:rStyle w:val="Collegamentoipertestuale"/>
            <w:color w:val="auto"/>
            <w:sz w:val="20"/>
            <w:u w:val="none"/>
            <w:lang w:val="it-IT"/>
          </w:rPr>
          <w:t>ufficiostampa@assetcamera.it</w:t>
        </w:r>
      </w:hyperlink>
    </w:p>
    <w:p w:rsidR="00A34B13" w:rsidRPr="008A06D8" w:rsidRDefault="00A34B13" w:rsidP="00A34B13">
      <w:pPr>
        <w:pStyle w:val="Corpodeltesto3"/>
        <w:rPr>
          <w:b/>
          <w:bCs/>
          <w:spacing w:val="0"/>
        </w:rPr>
      </w:pPr>
    </w:p>
    <w:sectPr w:rsidR="00A34B13" w:rsidRPr="008A06D8" w:rsidSect="00A34B13">
      <w:type w:val="continuous"/>
      <w:pgSz w:w="11920" w:h="16840"/>
      <w:pgMar w:top="1020" w:right="1300" w:bottom="280" w:left="1280" w:header="720" w:footer="720" w:gutter="0"/>
      <w:cols w:space="720" w:equalWidth="0">
        <w:col w:w="9340"/>
      </w:cols>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compat>
  <w:rsids>
    <w:rsidRoot w:val="0051121A"/>
    <w:rsid w:val="00041CEF"/>
    <w:rsid w:val="00075708"/>
    <w:rsid w:val="000920C2"/>
    <w:rsid w:val="001455FA"/>
    <w:rsid w:val="001743A5"/>
    <w:rsid w:val="001F6351"/>
    <w:rsid w:val="00241812"/>
    <w:rsid w:val="00266892"/>
    <w:rsid w:val="0026760A"/>
    <w:rsid w:val="002F45C4"/>
    <w:rsid w:val="003E4D8F"/>
    <w:rsid w:val="00434DAA"/>
    <w:rsid w:val="00437521"/>
    <w:rsid w:val="0045759B"/>
    <w:rsid w:val="0051121A"/>
    <w:rsid w:val="00567EFD"/>
    <w:rsid w:val="00574534"/>
    <w:rsid w:val="005B1315"/>
    <w:rsid w:val="005C4953"/>
    <w:rsid w:val="00666BA7"/>
    <w:rsid w:val="006F7320"/>
    <w:rsid w:val="00712D81"/>
    <w:rsid w:val="007D7EF3"/>
    <w:rsid w:val="008A06D8"/>
    <w:rsid w:val="008A5AAF"/>
    <w:rsid w:val="00976210"/>
    <w:rsid w:val="00A34B13"/>
    <w:rsid w:val="00A92F8A"/>
    <w:rsid w:val="00B13BD8"/>
    <w:rsid w:val="00B22AC9"/>
    <w:rsid w:val="00B53751"/>
    <w:rsid w:val="00BE36DB"/>
    <w:rsid w:val="00C654D6"/>
    <w:rsid w:val="00CC4592"/>
    <w:rsid w:val="00CE22CC"/>
    <w:rsid w:val="00D50DAC"/>
    <w:rsid w:val="00D654F2"/>
    <w:rsid w:val="00E14EE6"/>
    <w:rsid w:val="00E605CB"/>
    <w:rsid w:val="00E67A58"/>
    <w:rsid w:val="00EB4904"/>
    <w:rsid w:val="00F37184"/>
    <w:rsid w:val="00FA4E3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76210"/>
    <w:pPr>
      <w:spacing w:after="200" w:line="276" w:lineRule="auto"/>
    </w:pPr>
    <w:rPr>
      <w:sz w:val="22"/>
      <w:szCs w:val="22"/>
      <w:lang w:val="en-US" w:eastAsia="en-US"/>
    </w:rPr>
  </w:style>
  <w:style w:type="paragraph" w:styleId="Titolo2">
    <w:name w:val="heading 2"/>
    <w:basedOn w:val="Normale"/>
    <w:next w:val="Normale"/>
    <w:link w:val="Titolo2Carattere"/>
    <w:qFormat/>
    <w:rsid w:val="00A34B13"/>
    <w:pPr>
      <w:keepNext/>
      <w:autoSpaceDE w:val="0"/>
      <w:autoSpaceDN w:val="0"/>
      <w:spacing w:after="0" w:line="240" w:lineRule="auto"/>
      <w:jc w:val="center"/>
      <w:outlineLvl w:val="1"/>
    </w:pPr>
    <w:rPr>
      <w:rFonts w:ascii="Arial Black" w:hAnsi="Arial Black" w:cs="Arial Black"/>
      <w:smallCaps/>
      <w:sz w:val="32"/>
      <w:szCs w:val="32"/>
      <w:lang w:val="it-IT" w:eastAsia="it-IT"/>
    </w:rPr>
  </w:style>
  <w:style w:type="paragraph" w:styleId="Titolo5">
    <w:name w:val="heading 5"/>
    <w:basedOn w:val="Normale"/>
    <w:next w:val="Normale"/>
    <w:link w:val="Titolo5Carattere"/>
    <w:qFormat/>
    <w:rsid w:val="00A34B13"/>
    <w:pPr>
      <w:keepNext/>
      <w:autoSpaceDE w:val="0"/>
      <w:autoSpaceDN w:val="0"/>
      <w:spacing w:after="0" w:line="240" w:lineRule="auto"/>
      <w:jc w:val="both"/>
      <w:outlineLvl w:val="4"/>
    </w:pPr>
    <w:rPr>
      <w:rFonts w:ascii="Arial" w:hAnsi="Arial" w:cs="Arial"/>
      <w:color w:val="000000"/>
      <w:sz w:val="16"/>
      <w:szCs w:val="16"/>
      <w:lang w:val="it-IT" w:eastAsia="it-IT"/>
    </w:rPr>
  </w:style>
  <w:style w:type="paragraph" w:styleId="Titolo7">
    <w:name w:val="heading 7"/>
    <w:basedOn w:val="Normale"/>
    <w:next w:val="Normale"/>
    <w:link w:val="Titolo7Carattere"/>
    <w:qFormat/>
    <w:rsid w:val="00A34B13"/>
    <w:pPr>
      <w:keepNext/>
      <w:autoSpaceDE w:val="0"/>
      <w:autoSpaceDN w:val="0"/>
      <w:spacing w:after="0" w:line="240" w:lineRule="exact"/>
      <w:jc w:val="both"/>
      <w:outlineLvl w:val="6"/>
    </w:pPr>
    <w:rPr>
      <w:rFonts w:ascii="Arial" w:hAnsi="Arial" w:cs="Arial"/>
      <w:b/>
      <w:bCs/>
      <w:sz w:val="18"/>
      <w:szCs w:val="18"/>
      <w:lang w:val="it-IT" w:eastAsia="it-IT"/>
    </w:rPr>
  </w:style>
  <w:style w:type="paragraph" w:styleId="Titolo8">
    <w:name w:val="heading 8"/>
    <w:basedOn w:val="Normale"/>
    <w:next w:val="Normale"/>
    <w:link w:val="Titolo8Carattere"/>
    <w:qFormat/>
    <w:rsid w:val="00A34B13"/>
    <w:pPr>
      <w:keepNext/>
      <w:autoSpaceDE w:val="0"/>
      <w:autoSpaceDN w:val="0"/>
      <w:spacing w:after="0" w:line="240" w:lineRule="auto"/>
      <w:jc w:val="center"/>
      <w:outlineLvl w:val="7"/>
    </w:pPr>
    <w:rPr>
      <w:rFonts w:ascii="Arial" w:hAnsi="Arial" w:cs="Arial"/>
      <w:b/>
      <w:bCs/>
      <w:sz w:val="18"/>
      <w:szCs w:val="18"/>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34B1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34B13"/>
    <w:rPr>
      <w:rFonts w:ascii="Tahoma" w:hAnsi="Tahoma" w:cs="Tahoma"/>
      <w:sz w:val="16"/>
      <w:szCs w:val="16"/>
      <w:lang w:val="en-US" w:eastAsia="en-US"/>
    </w:rPr>
  </w:style>
  <w:style w:type="paragraph" w:styleId="Corpodeltesto3">
    <w:name w:val="Body Text 3"/>
    <w:basedOn w:val="Normale"/>
    <w:link w:val="Corpodeltesto3Carattere"/>
    <w:semiHidden/>
    <w:rsid w:val="00A34B13"/>
    <w:pPr>
      <w:spacing w:after="0" w:line="360" w:lineRule="auto"/>
      <w:jc w:val="both"/>
    </w:pPr>
    <w:rPr>
      <w:rFonts w:ascii="Arial" w:hAnsi="Arial" w:cs="Arial"/>
      <w:spacing w:val="-2"/>
      <w:sz w:val="20"/>
      <w:szCs w:val="20"/>
      <w:lang w:val="it-IT" w:eastAsia="it-IT"/>
    </w:rPr>
  </w:style>
  <w:style w:type="character" w:customStyle="1" w:styleId="Corpodeltesto3Carattere">
    <w:name w:val="Corpo del testo 3 Carattere"/>
    <w:basedOn w:val="Carpredefinitoparagrafo"/>
    <w:link w:val="Corpodeltesto3"/>
    <w:semiHidden/>
    <w:rsid w:val="00A34B13"/>
    <w:rPr>
      <w:rFonts w:ascii="Arial" w:hAnsi="Arial" w:cs="Arial"/>
      <w:spacing w:val="-2"/>
    </w:rPr>
  </w:style>
  <w:style w:type="character" w:styleId="CitazioneHTML">
    <w:name w:val="HTML Cite"/>
    <w:semiHidden/>
    <w:rsid w:val="00A34B13"/>
    <w:rPr>
      <w:rFonts w:cs="Times New Roman"/>
      <w:color w:val="009933"/>
    </w:rPr>
  </w:style>
  <w:style w:type="paragraph" w:customStyle="1" w:styleId="Corpodeltesto22">
    <w:name w:val="Corpo del testo 22"/>
    <w:basedOn w:val="Normale"/>
    <w:rsid w:val="00A34B13"/>
    <w:pPr>
      <w:suppressAutoHyphens/>
      <w:spacing w:after="0" w:line="360" w:lineRule="auto"/>
      <w:jc w:val="both"/>
    </w:pPr>
    <w:rPr>
      <w:rFonts w:ascii="Arial" w:hAnsi="Arial" w:cs="Arial"/>
      <w:color w:val="365F91"/>
      <w:sz w:val="20"/>
      <w:szCs w:val="20"/>
      <w:lang w:val="it-IT" w:eastAsia="ar-SA"/>
    </w:rPr>
  </w:style>
  <w:style w:type="character" w:customStyle="1" w:styleId="Titolo2Carattere">
    <w:name w:val="Titolo 2 Carattere"/>
    <w:basedOn w:val="Carpredefinitoparagrafo"/>
    <w:link w:val="Titolo2"/>
    <w:rsid w:val="00A34B13"/>
    <w:rPr>
      <w:rFonts w:ascii="Arial Black" w:hAnsi="Arial Black" w:cs="Arial Black"/>
      <w:smallCaps/>
      <w:sz w:val="32"/>
      <w:szCs w:val="32"/>
    </w:rPr>
  </w:style>
  <w:style w:type="character" w:customStyle="1" w:styleId="Titolo5Carattere">
    <w:name w:val="Titolo 5 Carattere"/>
    <w:basedOn w:val="Carpredefinitoparagrafo"/>
    <w:link w:val="Titolo5"/>
    <w:rsid w:val="00A34B13"/>
    <w:rPr>
      <w:rFonts w:ascii="Arial" w:hAnsi="Arial" w:cs="Arial"/>
      <w:color w:val="000000"/>
      <w:sz w:val="16"/>
      <w:szCs w:val="16"/>
    </w:rPr>
  </w:style>
  <w:style w:type="character" w:customStyle="1" w:styleId="Titolo7Carattere">
    <w:name w:val="Titolo 7 Carattere"/>
    <w:basedOn w:val="Carpredefinitoparagrafo"/>
    <w:link w:val="Titolo7"/>
    <w:rsid w:val="00A34B13"/>
    <w:rPr>
      <w:rFonts w:ascii="Arial" w:hAnsi="Arial" w:cs="Arial"/>
      <w:b/>
      <w:bCs/>
      <w:sz w:val="18"/>
      <w:szCs w:val="18"/>
    </w:rPr>
  </w:style>
  <w:style w:type="character" w:customStyle="1" w:styleId="Titolo8Carattere">
    <w:name w:val="Titolo 8 Carattere"/>
    <w:basedOn w:val="Carpredefinitoparagrafo"/>
    <w:link w:val="Titolo8"/>
    <w:rsid w:val="00A34B13"/>
    <w:rPr>
      <w:rFonts w:ascii="Arial" w:hAnsi="Arial" w:cs="Arial"/>
      <w:b/>
      <w:bCs/>
      <w:sz w:val="18"/>
      <w:szCs w:val="18"/>
    </w:rPr>
  </w:style>
  <w:style w:type="paragraph" w:customStyle="1" w:styleId="Stile1">
    <w:name w:val="Stile1"/>
    <w:basedOn w:val="Normale"/>
    <w:rsid w:val="00A34B13"/>
    <w:pPr>
      <w:tabs>
        <w:tab w:val="left" w:pos="284"/>
      </w:tabs>
      <w:autoSpaceDE w:val="0"/>
      <w:autoSpaceDN w:val="0"/>
      <w:spacing w:after="0" w:line="240" w:lineRule="auto"/>
      <w:jc w:val="both"/>
    </w:pPr>
    <w:rPr>
      <w:rFonts w:ascii="Arial" w:hAnsi="Arial" w:cs="Arial"/>
      <w:i/>
      <w:iCs/>
      <w:sz w:val="18"/>
      <w:szCs w:val="18"/>
      <w:lang w:val="it-IT" w:eastAsia="it-IT"/>
    </w:rPr>
  </w:style>
  <w:style w:type="paragraph" w:styleId="Intestazione">
    <w:name w:val="header"/>
    <w:basedOn w:val="Normale"/>
    <w:link w:val="IntestazioneCarattere"/>
    <w:rsid w:val="00A34B13"/>
    <w:pPr>
      <w:tabs>
        <w:tab w:val="center" w:pos="4819"/>
        <w:tab w:val="right" w:pos="9638"/>
      </w:tabs>
      <w:autoSpaceDE w:val="0"/>
      <w:autoSpaceDN w:val="0"/>
      <w:spacing w:after="0" w:line="240" w:lineRule="auto"/>
      <w:jc w:val="both"/>
    </w:pPr>
    <w:rPr>
      <w:rFonts w:ascii="Arial" w:hAnsi="Arial" w:cs="Arial"/>
      <w:sz w:val="18"/>
      <w:szCs w:val="18"/>
      <w:lang w:val="it-IT" w:eastAsia="it-IT"/>
    </w:rPr>
  </w:style>
  <w:style w:type="character" w:customStyle="1" w:styleId="IntestazioneCarattere">
    <w:name w:val="Intestazione Carattere"/>
    <w:basedOn w:val="Carpredefinitoparagrafo"/>
    <w:link w:val="Intestazione"/>
    <w:rsid w:val="00A34B13"/>
    <w:rPr>
      <w:rFonts w:ascii="Arial" w:hAnsi="Arial" w:cs="Arial"/>
      <w:sz w:val="18"/>
      <w:szCs w:val="18"/>
    </w:rPr>
  </w:style>
  <w:style w:type="character" w:styleId="Collegamentoipertestuale">
    <w:name w:val="Hyperlink"/>
    <w:basedOn w:val="Carpredefinitoparagrafo"/>
    <w:semiHidden/>
    <w:unhideWhenUsed/>
    <w:rsid w:val="00CE22CC"/>
    <w:rPr>
      <w:color w:val="0000FF"/>
      <w:u w:val="single"/>
    </w:rPr>
  </w:style>
</w:styles>
</file>

<file path=word/webSettings.xml><?xml version="1.0" encoding="utf-8"?>
<w:webSettings xmlns:r="http://schemas.openxmlformats.org/officeDocument/2006/relationships" xmlns:w="http://schemas.openxmlformats.org/wordprocessingml/2006/main">
  <w:divs>
    <w:div w:id="111309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ufficiostampa@assetcamera.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723</Words>
  <Characters>4122</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ELEMENTI DI SINTESI</vt:lpstr>
    </vt:vector>
  </TitlesOfParts>
  <Company>ASSET Camera</Company>
  <LinksUpToDate>false</LinksUpToDate>
  <CharactersWithSpaces>4836</CharactersWithSpaces>
  <SharedDoc>false</SharedDoc>
  <HLinks>
    <vt:vector size="72" baseType="variant">
      <vt:variant>
        <vt:i4>4718681</vt:i4>
      </vt:variant>
      <vt:variant>
        <vt:i4>33</vt:i4>
      </vt:variant>
      <vt:variant>
        <vt:i4>0</vt:i4>
      </vt:variant>
      <vt:variant>
        <vt:i4>5</vt:i4>
      </vt:variant>
      <vt:variant>
        <vt:lpwstr>http://www.siop-lazio.it/</vt:lpwstr>
      </vt:variant>
      <vt:variant>
        <vt:lpwstr/>
      </vt:variant>
      <vt:variant>
        <vt:i4>4718681</vt:i4>
      </vt:variant>
      <vt:variant>
        <vt:i4>30</vt:i4>
      </vt:variant>
      <vt:variant>
        <vt:i4>0</vt:i4>
      </vt:variant>
      <vt:variant>
        <vt:i4>5</vt:i4>
      </vt:variant>
      <vt:variant>
        <vt:lpwstr>http://www.siop-lazio.it/</vt:lpwstr>
      </vt:variant>
      <vt:variant>
        <vt:lpwstr/>
      </vt:variant>
      <vt:variant>
        <vt:i4>4718681</vt:i4>
      </vt:variant>
      <vt:variant>
        <vt:i4>27</vt:i4>
      </vt:variant>
      <vt:variant>
        <vt:i4>0</vt:i4>
      </vt:variant>
      <vt:variant>
        <vt:i4>5</vt:i4>
      </vt:variant>
      <vt:variant>
        <vt:lpwstr>http://www.siop-lazio.it/</vt:lpwstr>
      </vt:variant>
      <vt:variant>
        <vt:lpwstr/>
      </vt:variant>
      <vt:variant>
        <vt:i4>4718681</vt:i4>
      </vt:variant>
      <vt:variant>
        <vt:i4>24</vt:i4>
      </vt:variant>
      <vt:variant>
        <vt:i4>0</vt:i4>
      </vt:variant>
      <vt:variant>
        <vt:i4>5</vt:i4>
      </vt:variant>
      <vt:variant>
        <vt:lpwstr>http://www.siop-lazio.it/</vt:lpwstr>
      </vt:variant>
      <vt:variant>
        <vt:lpwstr/>
      </vt:variant>
      <vt:variant>
        <vt:i4>4718681</vt:i4>
      </vt:variant>
      <vt:variant>
        <vt:i4>21</vt:i4>
      </vt:variant>
      <vt:variant>
        <vt:i4>0</vt:i4>
      </vt:variant>
      <vt:variant>
        <vt:i4>5</vt:i4>
      </vt:variant>
      <vt:variant>
        <vt:lpwstr>http://www.siop-lazio.it/</vt:lpwstr>
      </vt:variant>
      <vt:variant>
        <vt:lpwstr/>
      </vt:variant>
      <vt:variant>
        <vt:i4>4718681</vt:i4>
      </vt:variant>
      <vt:variant>
        <vt:i4>18</vt:i4>
      </vt:variant>
      <vt:variant>
        <vt:i4>0</vt:i4>
      </vt:variant>
      <vt:variant>
        <vt:i4>5</vt:i4>
      </vt:variant>
      <vt:variant>
        <vt:lpwstr>http://www.siop-lazio.it/</vt:lpwstr>
      </vt:variant>
      <vt:variant>
        <vt:lpwstr/>
      </vt:variant>
      <vt:variant>
        <vt:i4>4718681</vt:i4>
      </vt:variant>
      <vt:variant>
        <vt:i4>15</vt:i4>
      </vt:variant>
      <vt:variant>
        <vt:i4>0</vt:i4>
      </vt:variant>
      <vt:variant>
        <vt:i4>5</vt:i4>
      </vt:variant>
      <vt:variant>
        <vt:lpwstr>http://www.siop-lazio.it/</vt:lpwstr>
      </vt:variant>
      <vt:variant>
        <vt:lpwstr/>
      </vt:variant>
      <vt:variant>
        <vt:i4>4718681</vt:i4>
      </vt:variant>
      <vt:variant>
        <vt:i4>12</vt:i4>
      </vt:variant>
      <vt:variant>
        <vt:i4>0</vt:i4>
      </vt:variant>
      <vt:variant>
        <vt:i4>5</vt:i4>
      </vt:variant>
      <vt:variant>
        <vt:lpwstr>http://www.siop-lazio.it/</vt:lpwstr>
      </vt:variant>
      <vt:variant>
        <vt:lpwstr/>
      </vt:variant>
      <vt:variant>
        <vt:i4>4718681</vt:i4>
      </vt:variant>
      <vt:variant>
        <vt:i4>9</vt:i4>
      </vt:variant>
      <vt:variant>
        <vt:i4>0</vt:i4>
      </vt:variant>
      <vt:variant>
        <vt:i4>5</vt:i4>
      </vt:variant>
      <vt:variant>
        <vt:lpwstr>http://www.siop-lazio.it/</vt:lpwstr>
      </vt:variant>
      <vt:variant>
        <vt:lpwstr/>
      </vt:variant>
      <vt:variant>
        <vt:i4>4718681</vt:i4>
      </vt:variant>
      <vt:variant>
        <vt:i4>6</vt:i4>
      </vt:variant>
      <vt:variant>
        <vt:i4>0</vt:i4>
      </vt:variant>
      <vt:variant>
        <vt:i4>5</vt:i4>
      </vt:variant>
      <vt:variant>
        <vt:lpwstr>http://www.siop-lazio.it/</vt:lpwstr>
      </vt:variant>
      <vt:variant>
        <vt:lpwstr/>
      </vt:variant>
      <vt:variant>
        <vt:i4>4718681</vt:i4>
      </vt:variant>
      <vt:variant>
        <vt:i4>3</vt:i4>
      </vt:variant>
      <vt:variant>
        <vt:i4>0</vt:i4>
      </vt:variant>
      <vt:variant>
        <vt:i4>5</vt:i4>
      </vt:variant>
      <vt:variant>
        <vt:lpwstr>http://www.siop-lazio.it/</vt:lpwstr>
      </vt:variant>
      <vt:variant>
        <vt:lpwstr/>
      </vt:variant>
      <vt:variant>
        <vt:i4>4718681</vt:i4>
      </vt:variant>
      <vt:variant>
        <vt:i4>0</vt:i4>
      </vt:variant>
      <vt:variant>
        <vt:i4>0</vt:i4>
      </vt:variant>
      <vt:variant>
        <vt:i4>5</vt:i4>
      </vt:variant>
      <vt:variant>
        <vt:lpwstr>http://www.siop-lazio.it/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ELEMENTI DI SINTESI</dc:title>
  <dc:creator>gianni stifani</dc:creator>
  <dc:description>Document was created by {applicationname}, version: {version}</dc:description>
  <cp:lastModifiedBy> </cp:lastModifiedBy>
  <cp:revision>10</cp:revision>
  <cp:lastPrinted>2014-04-28T12:50:00Z</cp:lastPrinted>
  <dcterms:created xsi:type="dcterms:W3CDTF">2014-04-28T13:52:00Z</dcterms:created>
  <dcterms:modified xsi:type="dcterms:W3CDTF">2014-04-29T08:48:00Z</dcterms:modified>
</cp:coreProperties>
</file>