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7F434F" w14:textId="19C4C4FA" w:rsidR="004329E6" w:rsidRDefault="004329E6" w:rsidP="004329E6">
      <w:pPr>
        <w:jc w:val="center"/>
      </w:pPr>
      <w:r>
        <w:rPr>
          <w:noProof/>
        </w:rPr>
        <w:drawing>
          <wp:inline distT="0" distB="0" distL="0" distR="0" wp14:anchorId="44CD5A0B" wp14:editId="49E2B84A">
            <wp:extent cx="3335020" cy="1085215"/>
            <wp:effectExtent l="0" t="0" r="0" b="635"/>
            <wp:docPr id="87593522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5020" cy="1085215"/>
                    </a:xfrm>
                    <a:prstGeom prst="rect">
                      <a:avLst/>
                    </a:prstGeom>
                    <a:noFill/>
                  </pic:spPr>
                </pic:pic>
              </a:graphicData>
            </a:graphic>
          </wp:inline>
        </w:drawing>
      </w:r>
    </w:p>
    <w:p w14:paraId="1C00D1CA" w14:textId="77777777" w:rsidR="004329E6" w:rsidRDefault="004329E6" w:rsidP="004329E6">
      <w:pPr>
        <w:jc w:val="center"/>
      </w:pPr>
    </w:p>
    <w:p w14:paraId="14185CA1" w14:textId="667D0421" w:rsidR="004329E6" w:rsidRPr="00133D2A" w:rsidRDefault="004329E6" w:rsidP="004329E6">
      <w:pPr>
        <w:jc w:val="center"/>
        <w:rPr>
          <w:rFonts w:ascii="Times New Roman" w:hAnsi="Times New Roman" w:cs="Times New Roman"/>
        </w:rPr>
      </w:pPr>
      <w:r w:rsidRPr="00133D2A">
        <w:rPr>
          <w:rFonts w:ascii="Times New Roman" w:hAnsi="Times New Roman" w:cs="Times New Roman"/>
        </w:rPr>
        <w:t>COMUNICATO STAMPA</w:t>
      </w:r>
    </w:p>
    <w:p w14:paraId="02F4C15A" w14:textId="77777777" w:rsidR="004329E6" w:rsidRDefault="004329E6" w:rsidP="004329E6"/>
    <w:p w14:paraId="5B033B49" w14:textId="77777777" w:rsidR="004329E6" w:rsidRDefault="004329E6" w:rsidP="004329E6"/>
    <w:p w14:paraId="2ECD0C99" w14:textId="77777777" w:rsidR="004329E6" w:rsidRPr="00133D2A" w:rsidRDefault="004329E6" w:rsidP="009A62AB">
      <w:pPr>
        <w:spacing w:after="0"/>
        <w:jc w:val="center"/>
        <w:rPr>
          <w:rFonts w:ascii="Times New Roman" w:hAnsi="Times New Roman" w:cs="Times New Roman"/>
          <w:b/>
          <w:bCs/>
          <w:sz w:val="36"/>
          <w:szCs w:val="36"/>
        </w:rPr>
      </w:pPr>
      <w:r w:rsidRPr="00133D2A">
        <w:rPr>
          <w:rFonts w:ascii="Times New Roman" w:hAnsi="Times New Roman" w:cs="Times New Roman"/>
          <w:b/>
          <w:bCs/>
          <w:sz w:val="36"/>
          <w:szCs w:val="36"/>
        </w:rPr>
        <w:t xml:space="preserve">Tagliavanti: “Il 2024 anno complesso, si attenua la crescita, </w:t>
      </w:r>
    </w:p>
    <w:p w14:paraId="59D62B86" w14:textId="56F48C48" w:rsidR="004329E6" w:rsidRPr="00133D2A" w:rsidRDefault="004329E6" w:rsidP="009A62AB">
      <w:pPr>
        <w:spacing w:after="0"/>
        <w:jc w:val="center"/>
        <w:rPr>
          <w:rFonts w:ascii="Times New Roman" w:hAnsi="Times New Roman" w:cs="Times New Roman"/>
          <w:b/>
          <w:bCs/>
          <w:sz w:val="36"/>
          <w:szCs w:val="36"/>
        </w:rPr>
      </w:pPr>
      <w:r w:rsidRPr="00133D2A">
        <w:rPr>
          <w:rFonts w:ascii="Times New Roman" w:hAnsi="Times New Roman" w:cs="Times New Roman"/>
          <w:b/>
          <w:bCs/>
          <w:sz w:val="36"/>
          <w:szCs w:val="36"/>
        </w:rPr>
        <w:t>ma</w:t>
      </w:r>
      <w:r w:rsidRPr="00133D2A">
        <w:rPr>
          <w:rFonts w:ascii="Times New Roman" w:hAnsi="Times New Roman" w:cs="Times New Roman"/>
          <w:b/>
          <w:bCs/>
          <w:sz w:val="36"/>
          <w:szCs w:val="36"/>
        </w:rPr>
        <w:t xml:space="preserve"> </w:t>
      </w:r>
      <w:r w:rsidRPr="00133D2A">
        <w:rPr>
          <w:rFonts w:ascii="Times New Roman" w:hAnsi="Times New Roman" w:cs="Times New Roman"/>
          <w:b/>
          <w:bCs/>
          <w:sz w:val="36"/>
          <w:szCs w:val="36"/>
        </w:rPr>
        <w:t>Giubileo e PNRR opportunità per ripartire”</w:t>
      </w:r>
    </w:p>
    <w:p w14:paraId="3D306A97" w14:textId="77777777" w:rsidR="004329E6" w:rsidRPr="00133D2A" w:rsidRDefault="004329E6" w:rsidP="009A62AB">
      <w:pPr>
        <w:spacing w:after="0"/>
        <w:jc w:val="center"/>
        <w:rPr>
          <w:rFonts w:ascii="Times New Roman" w:hAnsi="Times New Roman" w:cs="Times New Roman"/>
          <w:b/>
          <w:bCs/>
          <w:sz w:val="36"/>
          <w:szCs w:val="36"/>
        </w:rPr>
      </w:pPr>
    </w:p>
    <w:p w14:paraId="0850A8DF" w14:textId="1990742E" w:rsidR="004329E6" w:rsidRPr="00133D2A" w:rsidRDefault="004329E6" w:rsidP="009A62AB">
      <w:pPr>
        <w:spacing w:after="0"/>
        <w:jc w:val="center"/>
        <w:rPr>
          <w:rFonts w:ascii="Times New Roman" w:hAnsi="Times New Roman" w:cs="Times New Roman"/>
          <w:b/>
          <w:bCs/>
          <w:sz w:val="36"/>
          <w:szCs w:val="36"/>
        </w:rPr>
      </w:pPr>
      <w:r w:rsidRPr="00133D2A">
        <w:rPr>
          <w:rFonts w:ascii="Times New Roman" w:hAnsi="Times New Roman" w:cs="Times New Roman"/>
          <w:b/>
          <w:bCs/>
          <w:sz w:val="36"/>
          <w:szCs w:val="36"/>
        </w:rPr>
        <w:t>Il 57% degli imprenditori romani ritiene che Roma Capitale</w:t>
      </w:r>
    </w:p>
    <w:p w14:paraId="196B29C9" w14:textId="55C5BE6F" w:rsidR="004329E6" w:rsidRPr="00133D2A" w:rsidRDefault="004329E6" w:rsidP="009A62AB">
      <w:pPr>
        <w:spacing w:after="0"/>
        <w:jc w:val="center"/>
        <w:rPr>
          <w:rFonts w:ascii="Times New Roman" w:hAnsi="Times New Roman" w:cs="Times New Roman"/>
          <w:b/>
          <w:bCs/>
          <w:sz w:val="36"/>
          <w:szCs w:val="36"/>
        </w:rPr>
      </w:pPr>
      <w:r w:rsidRPr="00133D2A">
        <w:rPr>
          <w:rFonts w:ascii="Times New Roman" w:hAnsi="Times New Roman" w:cs="Times New Roman"/>
          <w:b/>
          <w:bCs/>
          <w:sz w:val="36"/>
          <w:szCs w:val="36"/>
        </w:rPr>
        <w:t>debba avere una maggiore autonomia di governo, burocrazia</w:t>
      </w:r>
    </w:p>
    <w:p w14:paraId="142C75D4" w14:textId="77777777" w:rsidR="00133D2A" w:rsidRDefault="004329E6" w:rsidP="009A62AB">
      <w:pPr>
        <w:spacing w:after="0"/>
        <w:jc w:val="center"/>
        <w:rPr>
          <w:rFonts w:ascii="Times New Roman" w:hAnsi="Times New Roman" w:cs="Times New Roman"/>
          <w:b/>
          <w:bCs/>
          <w:sz w:val="36"/>
          <w:szCs w:val="36"/>
        </w:rPr>
      </w:pPr>
      <w:r w:rsidRPr="00133D2A">
        <w:rPr>
          <w:rFonts w:ascii="Times New Roman" w:hAnsi="Times New Roman" w:cs="Times New Roman"/>
          <w:b/>
          <w:bCs/>
          <w:sz w:val="36"/>
          <w:szCs w:val="36"/>
        </w:rPr>
        <w:t xml:space="preserve">più efficiente e un miglioramento dei servizi pubblici </w:t>
      </w:r>
    </w:p>
    <w:p w14:paraId="02BD4136" w14:textId="41C0954D" w:rsidR="004329E6" w:rsidRPr="00133D2A" w:rsidRDefault="004329E6" w:rsidP="009A62AB">
      <w:pPr>
        <w:spacing w:after="0"/>
        <w:jc w:val="center"/>
        <w:rPr>
          <w:rFonts w:ascii="Times New Roman" w:hAnsi="Times New Roman" w:cs="Times New Roman"/>
          <w:b/>
          <w:bCs/>
          <w:sz w:val="36"/>
          <w:szCs w:val="36"/>
        </w:rPr>
      </w:pPr>
      <w:r w:rsidRPr="00133D2A">
        <w:rPr>
          <w:rFonts w:ascii="Times New Roman" w:hAnsi="Times New Roman" w:cs="Times New Roman"/>
          <w:b/>
          <w:bCs/>
          <w:sz w:val="36"/>
          <w:szCs w:val="36"/>
        </w:rPr>
        <w:t>i principali</w:t>
      </w:r>
      <w:r w:rsidR="00133D2A">
        <w:rPr>
          <w:rFonts w:ascii="Times New Roman" w:hAnsi="Times New Roman" w:cs="Times New Roman"/>
          <w:b/>
          <w:bCs/>
          <w:sz w:val="36"/>
          <w:szCs w:val="36"/>
        </w:rPr>
        <w:t xml:space="preserve"> </w:t>
      </w:r>
      <w:r w:rsidRPr="00133D2A">
        <w:rPr>
          <w:rFonts w:ascii="Times New Roman" w:hAnsi="Times New Roman" w:cs="Times New Roman"/>
          <w:b/>
          <w:bCs/>
          <w:sz w:val="36"/>
          <w:szCs w:val="36"/>
        </w:rPr>
        <w:t>benefici attesi</w:t>
      </w:r>
    </w:p>
    <w:p w14:paraId="195816C1" w14:textId="77777777" w:rsidR="004329E6" w:rsidRPr="00133D2A" w:rsidRDefault="004329E6" w:rsidP="004329E6">
      <w:pPr>
        <w:jc w:val="center"/>
        <w:rPr>
          <w:rFonts w:ascii="Times New Roman" w:hAnsi="Times New Roman" w:cs="Times New Roman"/>
          <w:b/>
          <w:bCs/>
          <w:sz w:val="36"/>
          <w:szCs w:val="36"/>
        </w:rPr>
      </w:pPr>
    </w:p>
    <w:p w14:paraId="317B6CF7" w14:textId="6E152747" w:rsidR="004329E6" w:rsidRPr="00133D2A" w:rsidRDefault="004329E6" w:rsidP="009A62AB">
      <w:pPr>
        <w:spacing w:after="0"/>
        <w:jc w:val="center"/>
        <w:rPr>
          <w:rFonts w:ascii="Times New Roman" w:hAnsi="Times New Roman" w:cs="Times New Roman"/>
          <w:b/>
          <w:bCs/>
          <w:sz w:val="36"/>
          <w:szCs w:val="36"/>
        </w:rPr>
      </w:pPr>
      <w:r w:rsidRPr="00133D2A">
        <w:rPr>
          <w:rFonts w:ascii="Times New Roman" w:hAnsi="Times New Roman" w:cs="Times New Roman"/>
          <w:b/>
          <w:bCs/>
          <w:sz w:val="36"/>
          <w:szCs w:val="36"/>
        </w:rPr>
        <w:t>Per oltre la metà delle imprese romane l’accesso al credito</w:t>
      </w:r>
    </w:p>
    <w:p w14:paraId="671009FC" w14:textId="3C90CE9F" w:rsidR="004329E6" w:rsidRPr="00133D2A" w:rsidRDefault="004329E6" w:rsidP="009A62AB">
      <w:pPr>
        <w:spacing w:after="0"/>
        <w:jc w:val="center"/>
        <w:rPr>
          <w:rFonts w:ascii="Times New Roman" w:hAnsi="Times New Roman" w:cs="Times New Roman"/>
          <w:b/>
          <w:bCs/>
          <w:sz w:val="36"/>
          <w:szCs w:val="36"/>
        </w:rPr>
      </w:pPr>
      <w:r w:rsidRPr="00133D2A">
        <w:rPr>
          <w:rFonts w:ascii="Times New Roman" w:hAnsi="Times New Roman" w:cs="Times New Roman"/>
          <w:b/>
          <w:bCs/>
          <w:sz w:val="36"/>
          <w:szCs w:val="36"/>
        </w:rPr>
        <w:t>rappresenta un problema, nell’11% dei casi a un livello anche</w:t>
      </w:r>
    </w:p>
    <w:p w14:paraId="6D5BF99C" w14:textId="636DA920" w:rsidR="004329E6" w:rsidRPr="00133D2A" w:rsidRDefault="004329E6" w:rsidP="009A62AB">
      <w:pPr>
        <w:spacing w:after="0"/>
        <w:jc w:val="center"/>
        <w:rPr>
          <w:rFonts w:ascii="Times New Roman" w:hAnsi="Times New Roman" w:cs="Times New Roman"/>
          <w:b/>
          <w:bCs/>
          <w:sz w:val="36"/>
          <w:szCs w:val="36"/>
        </w:rPr>
      </w:pPr>
      <w:r w:rsidRPr="00133D2A">
        <w:rPr>
          <w:rFonts w:ascii="Times New Roman" w:hAnsi="Times New Roman" w:cs="Times New Roman"/>
          <w:b/>
          <w:bCs/>
          <w:sz w:val="36"/>
          <w:szCs w:val="36"/>
        </w:rPr>
        <w:t>superiore al 2023</w:t>
      </w:r>
    </w:p>
    <w:p w14:paraId="31427699" w14:textId="77777777" w:rsidR="004329E6" w:rsidRPr="00133D2A" w:rsidRDefault="004329E6" w:rsidP="004329E6">
      <w:pPr>
        <w:jc w:val="center"/>
        <w:rPr>
          <w:rFonts w:ascii="Times New Roman" w:hAnsi="Times New Roman" w:cs="Times New Roman"/>
          <w:b/>
          <w:bCs/>
          <w:sz w:val="36"/>
          <w:szCs w:val="36"/>
        </w:rPr>
      </w:pPr>
    </w:p>
    <w:p w14:paraId="7C83D98B" w14:textId="1A537F1C" w:rsidR="004329E6" w:rsidRPr="00133D2A" w:rsidRDefault="004329E6" w:rsidP="009A62AB">
      <w:pPr>
        <w:spacing w:after="0"/>
        <w:jc w:val="center"/>
        <w:rPr>
          <w:rFonts w:ascii="Times New Roman" w:hAnsi="Times New Roman" w:cs="Times New Roman"/>
          <w:b/>
          <w:bCs/>
          <w:sz w:val="36"/>
          <w:szCs w:val="36"/>
        </w:rPr>
      </w:pPr>
      <w:r w:rsidRPr="00133D2A">
        <w:rPr>
          <w:rFonts w:ascii="Times New Roman" w:hAnsi="Times New Roman" w:cs="Times New Roman"/>
          <w:b/>
          <w:bCs/>
          <w:sz w:val="36"/>
          <w:szCs w:val="36"/>
        </w:rPr>
        <w:t>Nel secondo semestre del 2024 il 18,25% delle aziende prevede</w:t>
      </w:r>
    </w:p>
    <w:p w14:paraId="693D9DB5" w14:textId="77777777" w:rsidR="004329E6" w:rsidRPr="00133D2A" w:rsidRDefault="004329E6" w:rsidP="009A62AB">
      <w:pPr>
        <w:spacing w:after="0"/>
        <w:jc w:val="center"/>
        <w:rPr>
          <w:rFonts w:ascii="Times New Roman" w:hAnsi="Times New Roman" w:cs="Times New Roman"/>
          <w:b/>
          <w:bCs/>
          <w:sz w:val="36"/>
          <w:szCs w:val="36"/>
        </w:rPr>
      </w:pPr>
      <w:r w:rsidRPr="00133D2A">
        <w:rPr>
          <w:rFonts w:ascii="Times New Roman" w:hAnsi="Times New Roman" w:cs="Times New Roman"/>
          <w:b/>
          <w:bCs/>
          <w:sz w:val="36"/>
          <w:szCs w:val="36"/>
        </w:rPr>
        <w:t>un aumento del fatturato, il 34,92% una diminuzione</w:t>
      </w:r>
    </w:p>
    <w:p w14:paraId="0A5B524E" w14:textId="77777777" w:rsidR="004329E6" w:rsidRPr="004329E6" w:rsidRDefault="004329E6" w:rsidP="009A62AB">
      <w:pPr>
        <w:spacing w:after="0"/>
        <w:jc w:val="center"/>
        <w:rPr>
          <w:rFonts w:ascii="Times New Roman" w:hAnsi="Times New Roman" w:cs="Times New Roman"/>
          <w:b/>
          <w:bCs/>
          <w:sz w:val="30"/>
          <w:szCs w:val="30"/>
        </w:rPr>
      </w:pPr>
    </w:p>
    <w:p w14:paraId="01D643AD" w14:textId="77777777" w:rsidR="00133D2A" w:rsidRDefault="00133D2A" w:rsidP="004329E6">
      <w:pPr>
        <w:jc w:val="center"/>
        <w:rPr>
          <w:rFonts w:ascii="Times New Roman" w:hAnsi="Times New Roman" w:cs="Times New Roman"/>
          <w:b/>
          <w:bCs/>
          <w:i/>
          <w:iCs/>
          <w:sz w:val="30"/>
          <w:szCs w:val="30"/>
        </w:rPr>
      </w:pPr>
    </w:p>
    <w:p w14:paraId="7BD81E77" w14:textId="525429D9" w:rsidR="004329E6" w:rsidRPr="00133D2A" w:rsidRDefault="004329E6" w:rsidP="004329E6">
      <w:pPr>
        <w:jc w:val="center"/>
        <w:rPr>
          <w:rFonts w:ascii="Times New Roman" w:hAnsi="Times New Roman" w:cs="Times New Roman"/>
          <w:b/>
          <w:bCs/>
          <w:i/>
          <w:iCs/>
          <w:sz w:val="30"/>
          <w:szCs w:val="30"/>
        </w:rPr>
      </w:pPr>
      <w:r w:rsidRPr="00133D2A">
        <w:rPr>
          <w:rFonts w:ascii="Times New Roman" w:hAnsi="Times New Roman" w:cs="Times New Roman"/>
          <w:b/>
          <w:bCs/>
          <w:i/>
          <w:iCs/>
          <w:sz w:val="30"/>
          <w:szCs w:val="30"/>
        </w:rPr>
        <w:t>I dati dell’Osservatorio permanente istituito dalla CCIAA Roma</w:t>
      </w:r>
    </w:p>
    <w:p w14:paraId="35CE89D7" w14:textId="77777777" w:rsidR="004329E6" w:rsidRDefault="004329E6" w:rsidP="004329E6"/>
    <w:p w14:paraId="17E82C3C" w14:textId="77777777" w:rsidR="00C47A95" w:rsidRDefault="00C47A95" w:rsidP="004F117A">
      <w:pPr>
        <w:spacing w:after="0"/>
        <w:jc w:val="both"/>
        <w:rPr>
          <w:rFonts w:ascii="Times New Roman" w:hAnsi="Times New Roman" w:cs="Times New Roman"/>
          <w:i/>
          <w:iCs/>
          <w:sz w:val="28"/>
          <w:szCs w:val="28"/>
        </w:rPr>
      </w:pPr>
    </w:p>
    <w:p w14:paraId="119E53BE" w14:textId="6CFBEE0C" w:rsidR="004329E6" w:rsidRPr="004329E6" w:rsidRDefault="004329E6" w:rsidP="004F117A">
      <w:pPr>
        <w:spacing w:after="0"/>
        <w:jc w:val="both"/>
        <w:rPr>
          <w:rFonts w:ascii="Times New Roman" w:hAnsi="Times New Roman" w:cs="Times New Roman"/>
          <w:sz w:val="28"/>
          <w:szCs w:val="28"/>
        </w:rPr>
      </w:pPr>
      <w:r w:rsidRPr="004329E6">
        <w:rPr>
          <w:rFonts w:ascii="Times New Roman" w:hAnsi="Times New Roman" w:cs="Times New Roman"/>
          <w:i/>
          <w:iCs/>
          <w:sz w:val="28"/>
          <w:szCs w:val="28"/>
        </w:rPr>
        <w:t>Roma, 12 agosto 2024</w:t>
      </w:r>
      <w:r w:rsidRPr="004329E6">
        <w:rPr>
          <w:rFonts w:ascii="Times New Roman" w:hAnsi="Times New Roman" w:cs="Times New Roman"/>
          <w:sz w:val="28"/>
          <w:szCs w:val="28"/>
        </w:rPr>
        <w:t xml:space="preserve"> - La Camera di Commercio di Roma ha costruito un panel di 500 imprese rappresentative del tessuto imprenditoriale di Roma e provincia per fornire un costante aggiornamento sull’evoluzione della situazione economica. </w:t>
      </w:r>
    </w:p>
    <w:p w14:paraId="73093015" w14:textId="66E729DF" w:rsidR="004329E6" w:rsidRPr="004329E6" w:rsidRDefault="004329E6" w:rsidP="004F117A">
      <w:pPr>
        <w:spacing w:after="0"/>
        <w:jc w:val="both"/>
        <w:rPr>
          <w:rFonts w:ascii="Times New Roman" w:hAnsi="Times New Roman" w:cs="Times New Roman"/>
          <w:sz w:val="28"/>
          <w:szCs w:val="28"/>
        </w:rPr>
      </w:pPr>
      <w:r w:rsidRPr="004329E6">
        <w:rPr>
          <w:rFonts w:ascii="Times New Roman" w:hAnsi="Times New Roman" w:cs="Times New Roman"/>
          <w:sz w:val="28"/>
          <w:szCs w:val="28"/>
        </w:rPr>
        <w:t>Le guerre in corso in Ucraina e in Medioriente, le tensioni geopolitiche, la dinamica</w:t>
      </w:r>
      <w:r w:rsidR="006D53C3">
        <w:rPr>
          <w:rFonts w:ascii="Times New Roman" w:hAnsi="Times New Roman" w:cs="Times New Roman"/>
          <w:sz w:val="28"/>
          <w:szCs w:val="28"/>
        </w:rPr>
        <w:t xml:space="preserve"> </w:t>
      </w:r>
      <w:r w:rsidRPr="004329E6">
        <w:rPr>
          <w:rFonts w:ascii="Times New Roman" w:hAnsi="Times New Roman" w:cs="Times New Roman"/>
          <w:sz w:val="28"/>
          <w:szCs w:val="28"/>
        </w:rPr>
        <w:t xml:space="preserve">dei tassi di interesse, che restano su livelli ancora relativamente alti, rappresentano un </w:t>
      </w:r>
      <w:r w:rsidRPr="004329E6">
        <w:rPr>
          <w:rFonts w:ascii="Times New Roman" w:hAnsi="Times New Roman" w:cs="Times New Roman"/>
          <w:sz w:val="28"/>
          <w:szCs w:val="28"/>
        </w:rPr>
        <w:lastRenderedPageBreak/>
        <w:t xml:space="preserve">serio rischio per il consolidamento della fase di ripresa economica del nostro Paese e del nostro territorio. </w:t>
      </w:r>
    </w:p>
    <w:p w14:paraId="00CDF350" w14:textId="4D3E2B59" w:rsidR="004329E6" w:rsidRPr="004329E6" w:rsidRDefault="004329E6" w:rsidP="00C47A95">
      <w:pPr>
        <w:spacing w:after="0"/>
        <w:jc w:val="both"/>
        <w:rPr>
          <w:rFonts w:ascii="Times New Roman" w:hAnsi="Times New Roman" w:cs="Times New Roman"/>
          <w:sz w:val="28"/>
          <w:szCs w:val="28"/>
        </w:rPr>
      </w:pPr>
      <w:r w:rsidRPr="004329E6">
        <w:rPr>
          <w:rFonts w:ascii="Times New Roman" w:hAnsi="Times New Roman" w:cs="Times New Roman"/>
          <w:sz w:val="28"/>
          <w:szCs w:val="28"/>
        </w:rPr>
        <w:t>Questa nuova indagine ha come obiettivo quello di capire come le imprese hanno</w:t>
      </w:r>
      <w:r w:rsidR="006D53C3">
        <w:rPr>
          <w:rFonts w:ascii="Times New Roman" w:hAnsi="Times New Roman" w:cs="Times New Roman"/>
          <w:sz w:val="28"/>
          <w:szCs w:val="28"/>
        </w:rPr>
        <w:t xml:space="preserve"> </w:t>
      </w:r>
      <w:r w:rsidRPr="004329E6">
        <w:rPr>
          <w:rFonts w:ascii="Times New Roman" w:hAnsi="Times New Roman" w:cs="Times New Roman"/>
          <w:sz w:val="28"/>
          <w:szCs w:val="28"/>
        </w:rPr>
        <w:t>affrontato la prima metà del 2024, e quali aspettative hanno gli imprenditori di Roma e provincia sulla seconda metà del 2024.</w:t>
      </w:r>
    </w:p>
    <w:p w14:paraId="663CCEBD" w14:textId="79AFA0D9" w:rsidR="004329E6" w:rsidRPr="004329E6" w:rsidRDefault="004329E6" w:rsidP="00C47A95">
      <w:pPr>
        <w:spacing w:after="0"/>
        <w:jc w:val="both"/>
        <w:rPr>
          <w:rFonts w:ascii="Times New Roman" w:hAnsi="Times New Roman" w:cs="Times New Roman"/>
          <w:sz w:val="28"/>
          <w:szCs w:val="28"/>
        </w:rPr>
      </w:pPr>
      <w:r w:rsidRPr="004329E6">
        <w:rPr>
          <w:rFonts w:ascii="Times New Roman" w:hAnsi="Times New Roman" w:cs="Times New Roman"/>
          <w:sz w:val="28"/>
          <w:szCs w:val="28"/>
        </w:rPr>
        <w:t>L’indagine è stata somministrata tra il 22 luglio e il primo agosto 2024. Le imprese del panel hanno nel 67% dei casi la sede nel comune di Roma e per il 33% dei casi nel resto della provincia di Roma.</w:t>
      </w:r>
    </w:p>
    <w:p w14:paraId="4CC741A0" w14:textId="77777777" w:rsidR="004F117A" w:rsidRDefault="004F117A" w:rsidP="006D53C3">
      <w:pPr>
        <w:jc w:val="both"/>
        <w:rPr>
          <w:rFonts w:ascii="Times New Roman" w:hAnsi="Times New Roman" w:cs="Times New Roman"/>
          <w:b/>
          <w:bCs/>
          <w:sz w:val="28"/>
          <w:szCs w:val="28"/>
        </w:rPr>
      </w:pPr>
    </w:p>
    <w:p w14:paraId="45D410A9" w14:textId="7ACE05F3" w:rsidR="004329E6" w:rsidRPr="006D53C3" w:rsidRDefault="004329E6" w:rsidP="004F117A">
      <w:pPr>
        <w:spacing w:after="0"/>
        <w:jc w:val="both"/>
        <w:rPr>
          <w:rFonts w:ascii="Times New Roman" w:hAnsi="Times New Roman" w:cs="Times New Roman"/>
          <w:b/>
          <w:bCs/>
          <w:sz w:val="28"/>
          <w:szCs w:val="28"/>
        </w:rPr>
      </w:pPr>
      <w:r w:rsidRPr="006D53C3">
        <w:rPr>
          <w:rFonts w:ascii="Times New Roman" w:hAnsi="Times New Roman" w:cs="Times New Roman"/>
          <w:b/>
          <w:bCs/>
          <w:sz w:val="28"/>
          <w:szCs w:val="28"/>
        </w:rPr>
        <w:t>Considerazioni generali</w:t>
      </w:r>
    </w:p>
    <w:p w14:paraId="643099C1" w14:textId="64D03FE0" w:rsidR="004329E6" w:rsidRPr="004329E6" w:rsidRDefault="004329E6" w:rsidP="004F117A">
      <w:pPr>
        <w:spacing w:after="0"/>
        <w:jc w:val="both"/>
        <w:rPr>
          <w:rFonts w:ascii="Times New Roman" w:hAnsi="Times New Roman" w:cs="Times New Roman"/>
          <w:sz w:val="28"/>
          <w:szCs w:val="28"/>
        </w:rPr>
      </w:pPr>
      <w:r w:rsidRPr="004329E6">
        <w:rPr>
          <w:rFonts w:ascii="Times New Roman" w:hAnsi="Times New Roman" w:cs="Times New Roman"/>
          <w:sz w:val="28"/>
          <w:szCs w:val="28"/>
        </w:rPr>
        <w:t>Il 2024 si presenta come un anno complesso per le imprese romane, dopo la crescita del 2022 e il consolidamento del 2023. Per quasi l’85% delle imprese</w:t>
      </w:r>
      <w:r w:rsidR="009C2FB3">
        <w:rPr>
          <w:rFonts w:ascii="Times New Roman" w:hAnsi="Times New Roman" w:cs="Times New Roman"/>
          <w:sz w:val="28"/>
          <w:szCs w:val="28"/>
        </w:rPr>
        <w:t>,</w:t>
      </w:r>
      <w:r w:rsidRPr="004329E6">
        <w:rPr>
          <w:rFonts w:ascii="Times New Roman" w:hAnsi="Times New Roman" w:cs="Times New Roman"/>
          <w:sz w:val="28"/>
          <w:szCs w:val="28"/>
        </w:rPr>
        <w:t xml:space="preserve"> nei primi 6 mesi del 2024</w:t>
      </w:r>
      <w:r w:rsidR="009C2FB3">
        <w:rPr>
          <w:rFonts w:ascii="Times New Roman" w:hAnsi="Times New Roman" w:cs="Times New Roman"/>
          <w:sz w:val="28"/>
          <w:szCs w:val="28"/>
        </w:rPr>
        <w:t>,</w:t>
      </w:r>
      <w:r w:rsidRPr="004329E6">
        <w:rPr>
          <w:rFonts w:ascii="Times New Roman" w:hAnsi="Times New Roman" w:cs="Times New Roman"/>
          <w:sz w:val="28"/>
          <w:szCs w:val="28"/>
        </w:rPr>
        <w:t xml:space="preserve"> il fatturato è rimasto stabile o in diminuzione, percentuali simili anche per le aspettative sulla seconda parte dell’anno.</w:t>
      </w:r>
    </w:p>
    <w:p w14:paraId="6826C056" w14:textId="77777777" w:rsidR="009B2178" w:rsidRDefault="004329E6" w:rsidP="009B2178">
      <w:pPr>
        <w:spacing w:after="0"/>
        <w:jc w:val="both"/>
        <w:rPr>
          <w:rFonts w:ascii="Times New Roman" w:hAnsi="Times New Roman" w:cs="Times New Roman"/>
          <w:sz w:val="28"/>
          <w:szCs w:val="28"/>
        </w:rPr>
      </w:pPr>
      <w:r w:rsidRPr="004329E6">
        <w:rPr>
          <w:rFonts w:ascii="Times New Roman" w:hAnsi="Times New Roman" w:cs="Times New Roman"/>
          <w:sz w:val="28"/>
          <w:szCs w:val="28"/>
        </w:rPr>
        <w:t>Molto polarizzate le risposte in tema di accesso al credito, per poco più della metà del campione l’accesso al credito ha rappresentato nel 2024 un problema (con una impresa su 9 che dichiara di aver avuto problemi anche maggiori nel 2024 che nel 2023), mentre per quasi la metà del campione non ha rappresentato un particolare problema.</w:t>
      </w:r>
    </w:p>
    <w:p w14:paraId="3D14A180" w14:textId="1904CC85" w:rsidR="004329E6" w:rsidRPr="004329E6" w:rsidRDefault="004329E6" w:rsidP="009B2178">
      <w:pPr>
        <w:spacing w:after="0"/>
        <w:jc w:val="both"/>
        <w:rPr>
          <w:rFonts w:ascii="Times New Roman" w:hAnsi="Times New Roman" w:cs="Times New Roman"/>
          <w:sz w:val="28"/>
          <w:szCs w:val="28"/>
        </w:rPr>
      </w:pPr>
      <w:r w:rsidRPr="004329E6">
        <w:rPr>
          <w:rFonts w:ascii="Times New Roman" w:hAnsi="Times New Roman" w:cs="Times New Roman"/>
          <w:sz w:val="28"/>
          <w:szCs w:val="28"/>
        </w:rPr>
        <w:t>Stabile la dinamica occupazionale con la maggioranza del campione, circa 3 imprese su 4, che hanno lasciato invariata la base occupazionale.</w:t>
      </w:r>
    </w:p>
    <w:p w14:paraId="32CB0860" w14:textId="0EAADD02" w:rsidR="004329E6" w:rsidRPr="004329E6" w:rsidRDefault="004329E6" w:rsidP="009B2178">
      <w:pPr>
        <w:spacing w:after="0"/>
        <w:jc w:val="both"/>
        <w:rPr>
          <w:rFonts w:ascii="Times New Roman" w:hAnsi="Times New Roman" w:cs="Times New Roman"/>
          <w:sz w:val="28"/>
          <w:szCs w:val="28"/>
        </w:rPr>
      </w:pPr>
      <w:r w:rsidRPr="004329E6">
        <w:rPr>
          <w:rFonts w:ascii="Times New Roman" w:hAnsi="Times New Roman" w:cs="Times New Roman"/>
          <w:sz w:val="28"/>
          <w:szCs w:val="28"/>
        </w:rPr>
        <w:t>Oltre la metà del campione ritiene che Roma debba avere una maggiore autonomia di governo, mentre un terzo delle imprese preferisce non esprimersi non conoscendo approfonditamente la questione.</w:t>
      </w:r>
    </w:p>
    <w:p w14:paraId="21E3FAD4" w14:textId="7581C05A" w:rsidR="004329E6" w:rsidRPr="004329E6" w:rsidRDefault="004329E6" w:rsidP="006D53C3">
      <w:pPr>
        <w:jc w:val="both"/>
        <w:rPr>
          <w:rFonts w:ascii="Times New Roman" w:hAnsi="Times New Roman" w:cs="Times New Roman"/>
          <w:sz w:val="28"/>
          <w:szCs w:val="28"/>
        </w:rPr>
      </w:pPr>
      <w:r w:rsidRPr="004329E6">
        <w:rPr>
          <w:rFonts w:ascii="Times New Roman" w:hAnsi="Times New Roman" w:cs="Times New Roman"/>
          <w:sz w:val="28"/>
          <w:szCs w:val="28"/>
        </w:rPr>
        <w:t>Le imprese si aspetterebbero, da una maggiore autonomia di governo di Roma, principalmente, una burocrazia più efficiente, un miglioramento dei servizi pubblici essenziali (rifiuti, trasporti etc.), maggiori investimenti nelle infrastrutture cittadine.</w:t>
      </w:r>
    </w:p>
    <w:p w14:paraId="78B69CF4" w14:textId="77777777" w:rsidR="009B2178" w:rsidRDefault="009B2178" w:rsidP="006D53C3">
      <w:pPr>
        <w:jc w:val="both"/>
        <w:rPr>
          <w:rFonts w:ascii="Times New Roman" w:hAnsi="Times New Roman" w:cs="Times New Roman"/>
          <w:b/>
          <w:bCs/>
          <w:sz w:val="28"/>
          <w:szCs w:val="28"/>
        </w:rPr>
      </w:pPr>
    </w:p>
    <w:p w14:paraId="421A50EF" w14:textId="40DCFBD9" w:rsidR="004329E6" w:rsidRPr="006D53C3" w:rsidRDefault="004329E6" w:rsidP="009B2178">
      <w:pPr>
        <w:spacing w:after="0"/>
        <w:jc w:val="both"/>
        <w:rPr>
          <w:rFonts w:ascii="Times New Roman" w:hAnsi="Times New Roman" w:cs="Times New Roman"/>
          <w:b/>
          <w:bCs/>
          <w:sz w:val="28"/>
          <w:szCs w:val="28"/>
        </w:rPr>
      </w:pPr>
      <w:r w:rsidRPr="006D53C3">
        <w:rPr>
          <w:rFonts w:ascii="Times New Roman" w:hAnsi="Times New Roman" w:cs="Times New Roman"/>
          <w:b/>
          <w:bCs/>
          <w:sz w:val="28"/>
          <w:szCs w:val="28"/>
        </w:rPr>
        <w:t>Congiuntura 2024</w:t>
      </w:r>
    </w:p>
    <w:p w14:paraId="27C2633C" w14:textId="506EA7B4" w:rsidR="00955D64" w:rsidRDefault="004329E6" w:rsidP="00955D64">
      <w:pPr>
        <w:spacing w:after="0"/>
        <w:jc w:val="both"/>
        <w:rPr>
          <w:rFonts w:ascii="Times New Roman" w:hAnsi="Times New Roman" w:cs="Times New Roman"/>
          <w:sz w:val="28"/>
          <w:szCs w:val="28"/>
        </w:rPr>
      </w:pPr>
      <w:r w:rsidRPr="004329E6">
        <w:rPr>
          <w:rFonts w:ascii="Times New Roman" w:hAnsi="Times New Roman" w:cs="Times New Roman"/>
          <w:sz w:val="28"/>
          <w:szCs w:val="28"/>
        </w:rPr>
        <w:t>Nei primi 6 mesi del 2024 per il 42,86% delle imprese il fatturato è diminuito rispetto ai primi 6 mesi del 2023, per il 42,06% è rimasto stabile, per il 15,08</w:t>
      </w:r>
      <w:r w:rsidR="001820CB">
        <w:rPr>
          <w:rFonts w:ascii="Times New Roman" w:hAnsi="Times New Roman" w:cs="Times New Roman"/>
          <w:sz w:val="28"/>
          <w:szCs w:val="28"/>
        </w:rPr>
        <w:t>%</w:t>
      </w:r>
      <w:r w:rsidRPr="004329E6">
        <w:rPr>
          <w:rFonts w:ascii="Times New Roman" w:hAnsi="Times New Roman" w:cs="Times New Roman"/>
          <w:sz w:val="28"/>
          <w:szCs w:val="28"/>
        </w:rPr>
        <w:t>, invece, il fatturato è aumentato.</w:t>
      </w:r>
    </w:p>
    <w:p w14:paraId="71593BD5" w14:textId="5009EC7D" w:rsidR="004329E6" w:rsidRPr="004329E6" w:rsidRDefault="004329E6" w:rsidP="00955D64">
      <w:pPr>
        <w:spacing w:after="0"/>
        <w:jc w:val="both"/>
        <w:rPr>
          <w:rFonts w:ascii="Times New Roman" w:hAnsi="Times New Roman" w:cs="Times New Roman"/>
          <w:sz w:val="28"/>
          <w:szCs w:val="28"/>
        </w:rPr>
      </w:pPr>
      <w:r w:rsidRPr="004329E6">
        <w:rPr>
          <w:rFonts w:ascii="Times New Roman" w:hAnsi="Times New Roman" w:cs="Times New Roman"/>
          <w:sz w:val="28"/>
          <w:szCs w:val="28"/>
        </w:rPr>
        <w:t>Più positivo l’andamento dell’occupazione. Per il 77,78% delle imprese romane del campione il numero dei dipendenti è rimasto stabile, a fronte di una percentuale dell’8,73% che ha aumentato il numero dei dipendenti e del 13,49% che li ha ridotti.</w:t>
      </w:r>
    </w:p>
    <w:p w14:paraId="6444F1E5" w14:textId="77777777" w:rsidR="006D53C3" w:rsidRPr="006D53C3" w:rsidRDefault="006D53C3" w:rsidP="006D53C3">
      <w:pPr>
        <w:jc w:val="both"/>
        <w:rPr>
          <w:rFonts w:ascii="Times New Roman" w:hAnsi="Times New Roman" w:cs="Times New Roman"/>
          <w:b/>
          <w:bCs/>
          <w:sz w:val="28"/>
          <w:szCs w:val="28"/>
        </w:rPr>
      </w:pPr>
    </w:p>
    <w:p w14:paraId="07594322" w14:textId="77DFEAF0" w:rsidR="004329E6" w:rsidRPr="006D53C3" w:rsidRDefault="004329E6" w:rsidP="00955D64">
      <w:pPr>
        <w:spacing w:after="0"/>
        <w:jc w:val="both"/>
        <w:rPr>
          <w:rFonts w:ascii="Times New Roman" w:hAnsi="Times New Roman" w:cs="Times New Roman"/>
          <w:b/>
          <w:bCs/>
          <w:sz w:val="28"/>
          <w:szCs w:val="28"/>
        </w:rPr>
      </w:pPr>
      <w:r w:rsidRPr="006D53C3">
        <w:rPr>
          <w:rFonts w:ascii="Times New Roman" w:hAnsi="Times New Roman" w:cs="Times New Roman"/>
          <w:b/>
          <w:bCs/>
          <w:sz w:val="28"/>
          <w:szCs w:val="28"/>
        </w:rPr>
        <w:t>Aspettative secondo semestre 2024 e accesso al credito</w:t>
      </w:r>
    </w:p>
    <w:p w14:paraId="42BE2CD3" w14:textId="64B6405C" w:rsidR="004329E6" w:rsidRPr="004329E6" w:rsidRDefault="004329E6" w:rsidP="00955D64">
      <w:pPr>
        <w:spacing w:after="0"/>
        <w:jc w:val="both"/>
        <w:rPr>
          <w:rFonts w:ascii="Times New Roman" w:hAnsi="Times New Roman" w:cs="Times New Roman"/>
          <w:sz w:val="28"/>
          <w:szCs w:val="28"/>
        </w:rPr>
      </w:pPr>
      <w:r w:rsidRPr="004329E6">
        <w:rPr>
          <w:rFonts w:ascii="Times New Roman" w:hAnsi="Times New Roman" w:cs="Times New Roman"/>
          <w:sz w:val="28"/>
          <w:szCs w:val="28"/>
        </w:rPr>
        <w:t>Per il secondo semestre del 2024 il 46,83% delle imprese prevede un fatturato stabile rispetto alla seconda parte del 2023, il 34,92% prevede un fatturato in diminuzione e il 18,25% in aumento.</w:t>
      </w:r>
    </w:p>
    <w:p w14:paraId="5EB7AA01" w14:textId="67AC3573" w:rsidR="004329E6" w:rsidRPr="004329E6" w:rsidRDefault="004329E6" w:rsidP="00955D64">
      <w:pPr>
        <w:spacing w:after="0"/>
        <w:jc w:val="both"/>
        <w:rPr>
          <w:rFonts w:ascii="Times New Roman" w:hAnsi="Times New Roman" w:cs="Times New Roman"/>
          <w:sz w:val="28"/>
          <w:szCs w:val="28"/>
        </w:rPr>
      </w:pPr>
      <w:r w:rsidRPr="004329E6">
        <w:rPr>
          <w:rFonts w:ascii="Times New Roman" w:hAnsi="Times New Roman" w:cs="Times New Roman"/>
          <w:sz w:val="28"/>
          <w:szCs w:val="28"/>
        </w:rPr>
        <w:lastRenderedPageBreak/>
        <w:t>Per il 48,41% delle imprese l’accesso al credito non sta rappresentando un particolare</w:t>
      </w:r>
      <w:r w:rsidR="00955D64">
        <w:rPr>
          <w:rFonts w:ascii="Times New Roman" w:hAnsi="Times New Roman" w:cs="Times New Roman"/>
          <w:sz w:val="28"/>
          <w:szCs w:val="28"/>
        </w:rPr>
        <w:t xml:space="preserve"> </w:t>
      </w:r>
      <w:r w:rsidRPr="004329E6">
        <w:rPr>
          <w:rFonts w:ascii="Times New Roman" w:hAnsi="Times New Roman" w:cs="Times New Roman"/>
          <w:sz w:val="28"/>
          <w:szCs w:val="28"/>
        </w:rPr>
        <w:t>un problema nel 2024, per quasi il 40% delle imprese invece (39,68%) l’accesso al credito è un problema serio, così come lo era nel 2023</w:t>
      </w:r>
      <w:r w:rsidR="00690A7F">
        <w:rPr>
          <w:rFonts w:ascii="Times New Roman" w:hAnsi="Times New Roman" w:cs="Times New Roman"/>
          <w:sz w:val="28"/>
          <w:szCs w:val="28"/>
        </w:rPr>
        <w:t>.</w:t>
      </w:r>
      <w:r w:rsidRPr="004329E6">
        <w:rPr>
          <w:rFonts w:ascii="Times New Roman" w:hAnsi="Times New Roman" w:cs="Times New Roman"/>
          <w:sz w:val="28"/>
          <w:szCs w:val="28"/>
        </w:rPr>
        <w:t xml:space="preserve"> </w:t>
      </w:r>
      <w:r w:rsidR="00690A7F">
        <w:rPr>
          <w:rFonts w:ascii="Times New Roman" w:hAnsi="Times New Roman" w:cs="Times New Roman"/>
          <w:sz w:val="28"/>
          <w:szCs w:val="28"/>
        </w:rPr>
        <w:t>P</w:t>
      </w:r>
      <w:r w:rsidRPr="004329E6">
        <w:rPr>
          <w:rFonts w:ascii="Times New Roman" w:hAnsi="Times New Roman" w:cs="Times New Roman"/>
          <w:sz w:val="28"/>
          <w:szCs w:val="28"/>
        </w:rPr>
        <w:t>er l’11% delle imprese l’accesso al credito è un problema maggiore che nel 2023.</w:t>
      </w:r>
    </w:p>
    <w:p w14:paraId="3D719D5B" w14:textId="77777777" w:rsidR="004A0987" w:rsidRDefault="004A0987" w:rsidP="006D53C3">
      <w:pPr>
        <w:jc w:val="both"/>
        <w:rPr>
          <w:rFonts w:ascii="Times New Roman" w:hAnsi="Times New Roman" w:cs="Times New Roman"/>
          <w:b/>
          <w:bCs/>
          <w:sz w:val="28"/>
          <w:szCs w:val="28"/>
        </w:rPr>
      </w:pPr>
    </w:p>
    <w:p w14:paraId="4701D742" w14:textId="40EC1F17" w:rsidR="004329E6" w:rsidRPr="006D53C3" w:rsidRDefault="004329E6" w:rsidP="004A0987">
      <w:pPr>
        <w:spacing w:after="0"/>
        <w:jc w:val="both"/>
        <w:rPr>
          <w:rFonts w:ascii="Times New Roman" w:hAnsi="Times New Roman" w:cs="Times New Roman"/>
          <w:b/>
          <w:bCs/>
          <w:sz w:val="28"/>
          <w:szCs w:val="28"/>
        </w:rPr>
      </w:pPr>
      <w:r w:rsidRPr="006D53C3">
        <w:rPr>
          <w:rFonts w:ascii="Times New Roman" w:hAnsi="Times New Roman" w:cs="Times New Roman"/>
          <w:b/>
          <w:bCs/>
          <w:sz w:val="28"/>
          <w:szCs w:val="28"/>
        </w:rPr>
        <w:t>Maggiore autonomia di governo per Roma</w:t>
      </w:r>
    </w:p>
    <w:p w14:paraId="37AA6332" w14:textId="77777777" w:rsidR="006D53C3" w:rsidRDefault="004329E6" w:rsidP="004A0987">
      <w:pPr>
        <w:spacing w:after="0"/>
        <w:jc w:val="both"/>
        <w:rPr>
          <w:rFonts w:ascii="Times New Roman" w:hAnsi="Times New Roman" w:cs="Times New Roman"/>
          <w:sz w:val="28"/>
          <w:szCs w:val="28"/>
        </w:rPr>
      </w:pPr>
      <w:r w:rsidRPr="004329E6">
        <w:rPr>
          <w:rFonts w:ascii="Times New Roman" w:hAnsi="Times New Roman" w:cs="Times New Roman"/>
          <w:sz w:val="28"/>
          <w:szCs w:val="28"/>
        </w:rPr>
        <w:t>Il 57,14% degli imprenditori ritiene che a Roma debba essere riconosciuta una maggiore autonomia di governo, mentre solo il 9,52% pensa che i poteri di cui gode oggi Roma siano adeguati al suo ruolo. Una impresa su 3 non esprime una valutazione.</w:t>
      </w:r>
    </w:p>
    <w:p w14:paraId="54CB5987" w14:textId="29988AB6" w:rsidR="004329E6" w:rsidRPr="004329E6" w:rsidRDefault="004329E6" w:rsidP="006D53C3">
      <w:pPr>
        <w:jc w:val="both"/>
        <w:rPr>
          <w:rFonts w:ascii="Times New Roman" w:hAnsi="Times New Roman" w:cs="Times New Roman"/>
          <w:sz w:val="28"/>
          <w:szCs w:val="28"/>
        </w:rPr>
      </w:pPr>
      <w:r w:rsidRPr="004329E6">
        <w:rPr>
          <w:rFonts w:ascii="Times New Roman" w:hAnsi="Times New Roman" w:cs="Times New Roman"/>
          <w:sz w:val="28"/>
          <w:szCs w:val="28"/>
        </w:rPr>
        <w:t>Tra i vantaggi che dovrebbe portare il riconoscimento di una maggiore autonomia a Roma Capitale (possibili più risposte) gli imprenditori segnalano principalmente una burocrazia più efficiente (49,21%), un miglioramento dei servizi pubblici essenziali (41,27%), maggiori investimenti nelle infrastrutture cittadine (37,30%), un rafforzamento degli incentivi alle imprese (28,57%), una riduzione del carico fiscale (24,60</w:t>
      </w:r>
      <w:r w:rsidR="00B445D1">
        <w:rPr>
          <w:rFonts w:ascii="Times New Roman" w:hAnsi="Times New Roman" w:cs="Times New Roman"/>
          <w:sz w:val="28"/>
          <w:szCs w:val="28"/>
        </w:rPr>
        <w:t>%</w:t>
      </w:r>
      <w:r w:rsidRPr="004329E6">
        <w:rPr>
          <w:rFonts w:ascii="Times New Roman" w:hAnsi="Times New Roman" w:cs="Times New Roman"/>
          <w:sz w:val="28"/>
          <w:szCs w:val="28"/>
        </w:rPr>
        <w:t>). Il 30% non si aspetta vantaggi significativi.</w:t>
      </w:r>
    </w:p>
    <w:p w14:paraId="102DE05A" w14:textId="77777777" w:rsidR="00E76671" w:rsidRDefault="00E76671" w:rsidP="006D53C3">
      <w:pPr>
        <w:jc w:val="both"/>
        <w:rPr>
          <w:rFonts w:ascii="Times New Roman" w:hAnsi="Times New Roman" w:cs="Times New Roman"/>
          <w:sz w:val="28"/>
          <w:szCs w:val="28"/>
        </w:rPr>
      </w:pPr>
    </w:p>
    <w:p w14:paraId="6207223F" w14:textId="1AECF98A" w:rsidR="004329E6" w:rsidRPr="004329E6" w:rsidRDefault="004329E6" w:rsidP="006D53C3">
      <w:pPr>
        <w:jc w:val="both"/>
        <w:rPr>
          <w:rFonts w:ascii="Times New Roman" w:hAnsi="Times New Roman" w:cs="Times New Roman"/>
          <w:sz w:val="28"/>
          <w:szCs w:val="28"/>
        </w:rPr>
      </w:pPr>
      <w:r w:rsidRPr="004329E6">
        <w:rPr>
          <w:rFonts w:ascii="Times New Roman" w:hAnsi="Times New Roman" w:cs="Times New Roman"/>
          <w:sz w:val="28"/>
          <w:szCs w:val="28"/>
        </w:rPr>
        <w:t xml:space="preserve">“Le guerre, le forti tensioni geopolitiche - afferma </w:t>
      </w:r>
      <w:r w:rsidRPr="00210B8E">
        <w:rPr>
          <w:rFonts w:ascii="Times New Roman" w:hAnsi="Times New Roman" w:cs="Times New Roman"/>
          <w:b/>
          <w:bCs/>
          <w:sz w:val="28"/>
          <w:szCs w:val="28"/>
        </w:rPr>
        <w:t>Lorenzo Tagliavanti, Presidente della Camera di Commercio di Roma</w:t>
      </w:r>
      <w:r w:rsidRPr="004329E6">
        <w:rPr>
          <w:rFonts w:ascii="Times New Roman" w:hAnsi="Times New Roman" w:cs="Times New Roman"/>
          <w:sz w:val="28"/>
          <w:szCs w:val="28"/>
        </w:rPr>
        <w:t xml:space="preserve"> </w:t>
      </w:r>
      <w:r w:rsidR="00210B8E">
        <w:rPr>
          <w:rFonts w:ascii="Times New Roman" w:hAnsi="Times New Roman" w:cs="Times New Roman"/>
          <w:sz w:val="28"/>
          <w:szCs w:val="28"/>
        </w:rPr>
        <w:t>-</w:t>
      </w:r>
      <w:r w:rsidRPr="004329E6">
        <w:rPr>
          <w:rFonts w:ascii="Times New Roman" w:hAnsi="Times New Roman" w:cs="Times New Roman"/>
          <w:sz w:val="28"/>
          <w:szCs w:val="28"/>
        </w:rPr>
        <w:t xml:space="preserve"> fanno del 2024 un anno molto incerto e complesso. Dal 2022 si è avviato un percorso di consolidamento dello sviluppo economico nel nostro territorio dopo il crollo d</w:t>
      </w:r>
      <w:r w:rsidR="007C5B0B">
        <w:rPr>
          <w:rFonts w:ascii="Times New Roman" w:hAnsi="Times New Roman" w:cs="Times New Roman"/>
          <w:sz w:val="28"/>
          <w:szCs w:val="28"/>
        </w:rPr>
        <w:t>ovuto alla</w:t>
      </w:r>
      <w:r w:rsidRPr="004329E6">
        <w:rPr>
          <w:rFonts w:ascii="Times New Roman" w:hAnsi="Times New Roman" w:cs="Times New Roman"/>
          <w:sz w:val="28"/>
          <w:szCs w:val="28"/>
        </w:rPr>
        <w:t xml:space="preserve"> pandemia nel 2020. Nel 2024 si registrano i primi segnali di rallentamento della crescita, occorre mettere in atto nuove strategie per sostenere il sistema produttivo. Le imprese romane hanno comunque dimostrato una grande capacità di tenuta, ma soprattutto per le piccole imprese, il 2024 rischia di essere un anno di contrazione del fatturato. I risultati della nostra indagine evidenziano come a fronte di oltre il 40% di imprese che registra un fatturato in diminuzione, solo il 15% delle imprese prevede un fatturato in aumento. L’indagine</w:t>
      </w:r>
      <w:r w:rsidR="001F5C11">
        <w:rPr>
          <w:rFonts w:ascii="Times New Roman" w:hAnsi="Times New Roman" w:cs="Times New Roman"/>
          <w:sz w:val="28"/>
          <w:szCs w:val="28"/>
        </w:rPr>
        <w:t xml:space="preserve"> </w:t>
      </w:r>
      <w:r w:rsidRPr="004329E6">
        <w:rPr>
          <w:rFonts w:ascii="Times New Roman" w:hAnsi="Times New Roman" w:cs="Times New Roman"/>
          <w:sz w:val="28"/>
          <w:szCs w:val="28"/>
        </w:rPr>
        <w:t>mette, inoltre, in evidenza come le imprese romane ritengano importante la questione dei poteri e dell’autonomia di governo di Roma</w:t>
      </w:r>
      <w:r w:rsidR="007F5A03">
        <w:rPr>
          <w:rFonts w:ascii="Times New Roman" w:hAnsi="Times New Roman" w:cs="Times New Roman"/>
          <w:sz w:val="28"/>
          <w:szCs w:val="28"/>
        </w:rPr>
        <w:t>:</w:t>
      </w:r>
      <w:r w:rsidRPr="004329E6">
        <w:rPr>
          <w:rFonts w:ascii="Times New Roman" w:hAnsi="Times New Roman" w:cs="Times New Roman"/>
          <w:sz w:val="28"/>
          <w:szCs w:val="28"/>
        </w:rPr>
        <w:t xml:space="preserve"> per il 57% delle imprese occorre una maggiore autonomia di governo, un aspetto che potrebbe avere significativi impatti anche sulle dinamiche economiche del nostro territorio con un miglioramento</w:t>
      </w:r>
      <w:r w:rsidR="00F629B4">
        <w:rPr>
          <w:rFonts w:ascii="Times New Roman" w:hAnsi="Times New Roman" w:cs="Times New Roman"/>
          <w:sz w:val="28"/>
          <w:szCs w:val="28"/>
        </w:rPr>
        <w:t xml:space="preserve"> </w:t>
      </w:r>
      <w:r w:rsidRPr="004329E6">
        <w:rPr>
          <w:rFonts w:ascii="Times New Roman" w:hAnsi="Times New Roman" w:cs="Times New Roman"/>
          <w:sz w:val="28"/>
          <w:szCs w:val="28"/>
        </w:rPr>
        <w:t xml:space="preserve">dell’efficienza e della qualità dei servizi. Per il futuro </w:t>
      </w:r>
      <w:r w:rsidR="001F5C11">
        <w:rPr>
          <w:rFonts w:ascii="Times New Roman" w:hAnsi="Times New Roman" w:cs="Times New Roman"/>
          <w:sz w:val="28"/>
          <w:szCs w:val="28"/>
        </w:rPr>
        <w:t>-</w:t>
      </w:r>
      <w:r w:rsidRPr="004329E6">
        <w:rPr>
          <w:rFonts w:ascii="Times New Roman" w:hAnsi="Times New Roman" w:cs="Times New Roman"/>
          <w:sz w:val="28"/>
          <w:szCs w:val="28"/>
        </w:rPr>
        <w:t xml:space="preserve"> conclude Tagliavanti - resto ottimista, ci sono elementi concreti che potranno favorire lo sviluppo di Roma, a partire da un auspicabile allentamento della stretta monetaria, ma soprattutto dovremo valorizzare pienamente le ricadute positive in termini di turismo e sviluppo del Giubileo e gli importanti investimenti del Pnrr che stanno atterrando sul nostro territorio”.</w:t>
      </w:r>
    </w:p>
    <w:p w14:paraId="2B6E6D15" w14:textId="77777777" w:rsidR="006D53C3" w:rsidRDefault="006D53C3" w:rsidP="004329E6"/>
    <w:p w14:paraId="68327B24" w14:textId="3E4D3FE4" w:rsidR="000A28C6" w:rsidRPr="006D53C3" w:rsidRDefault="004329E6" w:rsidP="006D53C3">
      <w:pPr>
        <w:jc w:val="center"/>
        <w:rPr>
          <w:rFonts w:ascii="Times New Roman" w:hAnsi="Times New Roman" w:cs="Times New Roman"/>
          <w:i/>
          <w:iCs/>
          <w:sz w:val="24"/>
          <w:szCs w:val="24"/>
        </w:rPr>
      </w:pPr>
      <w:r w:rsidRPr="006D53C3">
        <w:rPr>
          <w:rFonts w:ascii="Times New Roman" w:hAnsi="Times New Roman" w:cs="Times New Roman"/>
          <w:i/>
          <w:iCs/>
          <w:sz w:val="24"/>
          <w:szCs w:val="24"/>
        </w:rPr>
        <w:t>Ufficio Stampa C</w:t>
      </w:r>
      <w:r w:rsidR="005A6B3D">
        <w:rPr>
          <w:rFonts w:ascii="Times New Roman" w:hAnsi="Times New Roman" w:cs="Times New Roman"/>
          <w:i/>
          <w:iCs/>
          <w:sz w:val="24"/>
          <w:szCs w:val="24"/>
        </w:rPr>
        <w:t>amera di Commercio di</w:t>
      </w:r>
      <w:r w:rsidRPr="006D53C3">
        <w:rPr>
          <w:rFonts w:ascii="Times New Roman" w:hAnsi="Times New Roman" w:cs="Times New Roman"/>
          <w:i/>
          <w:iCs/>
          <w:sz w:val="24"/>
          <w:szCs w:val="24"/>
        </w:rPr>
        <w:t xml:space="preserve"> Roma – ufficiostampa@innovacamera.</w:t>
      </w:r>
      <w:r w:rsidR="006D53C3">
        <w:rPr>
          <w:rFonts w:ascii="Times New Roman" w:hAnsi="Times New Roman" w:cs="Times New Roman"/>
          <w:i/>
          <w:iCs/>
          <w:sz w:val="24"/>
          <w:szCs w:val="24"/>
        </w:rPr>
        <w:t>it</w:t>
      </w:r>
    </w:p>
    <w:sectPr w:rsidR="000A28C6" w:rsidRPr="006D53C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9E6"/>
    <w:rsid w:val="000A28C6"/>
    <w:rsid w:val="00133D2A"/>
    <w:rsid w:val="001820CB"/>
    <w:rsid w:val="001F5C11"/>
    <w:rsid w:val="00210B8E"/>
    <w:rsid w:val="0026575D"/>
    <w:rsid w:val="002F5EC1"/>
    <w:rsid w:val="004329E6"/>
    <w:rsid w:val="004A0987"/>
    <w:rsid w:val="004F117A"/>
    <w:rsid w:val="005A6B3D"/>
    <w:rsid w:val="006133C2"/>
    <w:rsid w:val="00690A7F"/>
    <w:rsid w:val="006D53C3"/>
    <w:rsid w:val="007C5B0B"/>
    <w:rsid w:val="007F5A03"/>
    <w:rsid w:val="00955D64"/>
    <w:rsid w:val="009A62AB"/>
    <w:rsid w:val="009B2178"/>
    <w:rsid w:val="009C2FB3"/>
    <w:rsid w:val="00A849BF"/>
    <w:rsid w:val="00B445D1"/>
    <w:rsid w:val="00C47A95"/>
    <w:rsid w:val="00CB1DBA"/>
    <w:rsid w:val="00E76671"/>
    <w:rsid w:val="00F629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F9EC58F"/>
  <w15:chartTrackingRefBased/>
  <w15:docId w15:val="{89D57CA3-1309-4D17-B9DF-3BE694FEA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329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329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329E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329E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329E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329E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329E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329E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329E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329E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329E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329E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329E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329E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329E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329E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329E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329E6"/>
    <w:rPr>
      <w:rFonts w:eastAsiaTheme="majorEastAsia" w:cstheme="majorBidi"/>
      <w:color w:val="272727" w:themeColor="text1" w:themeTint="D8"/>
    </w:rPr>
  </w:style>
  <w:style w:type="paragraph" w:styleId="Titolo">
    <w:name w:val="Title"/>
    <w:basedOn w:val="Normale"/>
    <w:next w:val="Normale"/>
    <w:link w:val="TitoloCarattere"/>
    <w:uiPriority w:val="10"/>
    <w:qFormat/>
    <w:rsid w:val="004329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329E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329E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329E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329E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329E6"/>
    <w:rPr>
      <w:i/>
      <w:iCs/>
      <w:color w:val="404040" w:themeColor="text1" w:themeTint="BF"/>
    </w:rPr>
  </w:style>
  <w:style w:type="paragraph" w:styleId="Paragrafoelenco">
    <w:name w:val="List Paragraph"/>
    <w:basedOn w:val="Normale"/>
    <w:uiPriority w:val="34"/>
    <w:qFormat/>
    <w:rsid w:val="004329E6"/>
    <w:pPr>
      <w:ind w:left="720"/>
      <w:contextualSpacing/>
    </w:pPr>
  </w:style>
  <w:style w:type="character" w:styleId="Enfasiintensa">
    <w:name w:val="Intense Emphasis"/>
    <w:basedOn w:val="Carpredefinitoparagrafo"/>
    <w:uiPriority w:val="21"/>
    <w:qFormat/>
    <w:rsid w:val="004329E6"/>
    <w:rPr>
      <w:i/>
      <w:iCs/>
      <w:color w:val="0F4761" w:themeColor="accent1" w:themeShade="BF"/>
    </w:rPr>
  </w:style>
  <w:style w:type="paragraph" w:styleId="Citazioneintensa">
    <w:name w:val="Intense Quote"/>
    <w:basedOn w:val="Normale"/>
    <w:next w:val="Normale"/>
    <w:link w:val="CitazioneintensaCarattere"/>
    <w:uiPriority w:val="30"/>
    <w:qFormat/>
    <w:rsid w:val="004329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329E6"/>
    <w:rPr>
      <w:i/>
      <w:iCs/>
      <w:color w:val="0F4761" w:themeColor="accent1" w:themeShade="BF"/>
    </w:rPr>
  </w:style>
  <w:style w:type="character" w:styleId="Riferimentointenso">
    <w:name w:val="Intense Reference"/>
    <w:basedOn w:val="Carpredefinitoparagrafo"/>
    <w:uiPriority w:val="32"/>
    <w:qFormat/>
    <w:rsid w:val="004329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DB44AC122524A49B02D8FA7D8DE105A" ma:contentTypeVersion="17" ma:contentTypeDescription="Creare un nuovo documento." ma:contentTypeScope="" ma:versionID="b455b062b2dd571b4e28c31c2be04aba">
  <xsd:schema xmlns:xsd="http://www.w3.org/2001/XMLSchema" xmlns:xs="http://www.w3.org/2001/XMLSchema" xmlns:p="http://schemas.microsoft.com/office/2006/metadata/properties" xmlns:ns3="40e468d2-a51c-4bc5-9a37-3ed96cba5bad" xmlns:ns4="4e1518f0-1971-4f2a-9f88-b87eda63fd5c" targetNamespace="http://schemas.microsoft.com/office/2006/metadata/properties" ma:root="true" ma:fieldsID="6c3458c8c74472e05ced70657dfdfeb3" ns3:_="" ns4:_="">
    <xsd:import namespace="40e468d2-a51c-4bc5-9a37-3ed96cba5bad"/>
    <xsd:import namespace="4e1518f0-1971-4f2a-9f88-b87eda63fd5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e468d2-a51c-4bc5-9a37-3ed96cba5b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1518f0-1971-4f2a-9f88-b87eda63fd5c"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SharingHintHash" ma:index="20"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B1DFDB-9A12-4AEC-A224-B7375D535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e468d2-a51c-4bc5-9a37-3ed96cba5bad"/>
    <ds:schemaRef ds:uri="4e1518f0-1971-4f2a-9f88-b87eda63fd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98DF28-750F-4753-97A3-25A0FD4B0B98}">
  <ds:schemaRefs>
    <ds:schemaRef ds:uri="http://schemas.microsoft.com/sharepoint/v3/contenttype/forms"/>
  </ds:schemaRefs>
</ds:datastoreItem>
</file>

<file path=customXml/itemProps3.xml><?xml version="1.0" encoding="utf-8"?>
<ds:datastoreItem xmlns:ds="http://schemas.openxmlformats.org/officeDocument/2006/customXml" ds:itemID="{74B37380-9F7B-4AA7-B0D8-322623B4053E}">
  <ds:schemaRefs>
    <ds:schemaRef ds:uri="http://www.w3.org/XML/1998/namespace"/>
    <ds:schemaRef ds:uri="http://schemas.openxmlformats.org/package/2006/metadata/core-properties"/>
    <ds:schemaRef ds:uri="http://schemas.microsoft.com/office/2006/metadata/properties"/>
    <ds:schemaRef ds:uri="http://purl.org/dc/elements/1.1/"/>
    <ds:schemaRef ds:uri="http://schemas.microsoft.com/office/2006/documentManagement/types"/>
    <ds:schemaRef ds:uri="http://schemas.microsoft.com/office/infopath/2007/PartnerControls"/>
    <ds:schemaRef ds:uri="http://purl.org/dc/dcmitype/"/>
    <ds:schemaRef ds:uri="4e1518f0-1971-4f2a-9f88-b87eda63fd5c"/>
    <ds:schemaRef ds:uri="40e468d2-a51c-4bc5-9a37-3ed96cba5bad"/>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940</Words>
  <Characters>5364</Characters>
  <Application>Microsoft Office Word</Application>
  <DocSecurity>0</DocSecurity>
  <Lines>44</Lines>
  <Paragraphs>12</Paragraphs>
  <ScaleCrop>false</ScaleCrop>
  <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Massimo Piagnani</dc:creator>
  <cp:keywords/>
  <dc:description/>
  <cp:lastModifiedBy>Massimo Piagnani</cp:lastModifiedBy>
  <cp:revision>25</cp:revision>
  <dcterms:created xsi:type="dcterms:W3CDTF">2024-08-12T07:11:00Z</dcterms:created>
  <dcterms:modified xsi:type="dcterms:W3CDTF">2024-08-12T07:38:00Z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0x010100CDB44AC122524A49B02D8FA7D8DE105A</vt:lpwstr>
  </property>
</Properties>
</file>