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2E3" w:rsidRDefault="00F722E3" w:rsidP="00E753D3"/>
    <w:p w:rsidR="00AA35CB" w:rsidRDefault="00E378ED" w:rsidP="000D4761">
      <w:pPr>
        <w:pStyle w:val="Titolofrontespizio"/>
        <w:spacing w:before="800" w:line="240" w:lineRule="auto"/>
        <w:jc w:val="center"/>
        <w:rPr>
          <w:rFonts w:ascii="Times New Roman" w:hAnsi="Times New Roman"/>
          <w:b/>
          <w:sz w:val="40"/>
          <w:szCs w:val="24"/>
        </w:rPr>
      </w:pPr>
      <w:r>
        <w:rPr>
          <w:rFonts w:ascii="Times New Roman" w:hAnsi="Times New Roman"/>
          <w:b/>
          <w:sz w:val="40"/>
          <w:szCs w:val="24"/>
        </w:rPr>
        <w:t>Sintesi</w:t>
      </w:r>
    </w:p>
    <w:p w:rsidR="00F722E3" w:rsidRPr="00FA7D90" w:rsidRDefault="00F722E3" w:rsidP="000D4761">
      <w:pPr>
        <w:pStyle w:val="Titolofrontespizio"/>
        <w:spacing w:before="800" w:line="240" w:lineRule="auto"/>
        <w:jc w:val="center"/>
        <w:rPr>
          <w:rFonts w:ascii="Times New Roman" w:hAnsi="Times New Roman"/>
          <w:b/>
          <w:sz w:val="40"/>
          <w:szCs w:val="24"/>
        </w:rPr>
      </w:pPr>
      <w:r w:rsidRPr="00FA7D90">
        <w:rPr>
          <w:rFonts w:ascii="Times New Roman" w:hAnsi="Times New Roman"/>
          <w:b/>
          <w:sz w:val="40"/>
          <w:szCs w:val="24"/>
        </w:rPr>
        <w:t>L</w:t>
      </w:r>
      <w:r w:rsidR="00DF6E99">
        <w:rPr>
          <w:rFonts w:ascii="Times New Roman" w:hAnsi="Times New Roman"/>
          <w:b/>
          <w:sz w:val="40"/>
          <w:szCs w:val="24"/>
        </w:rPr>
        <w:t>’</w:t>
      </w:r>
      <w:r w:rsidRPr="00FA7D90">
        <w:rPr>
          <w:rFonts w:ascii="Times New Roman" w:hAnsi="Times New Roman"/>
          <w:b/>
          <w:sz w:val="40"/>
          <w:szCs w:val="24"/>
        </w:rPr>
        <w:t xml:space="preserve">indotto del Giubileo straordinario della </w:t>
      </w:r>
      <w:r w:rsidR="00E378ED">
        <w:rPr>
          <w:rFonts w:ascii="Times New Roman" w:hAnsi="Times New Roman"/>
          <w:b/>
          <w:sz w:val="40"/>
          <w:szCs w:val="24"/>
        </w:rPr>
        <w:t>M</w:t>
      </w:r>
      <w:r w:rsidRPr="00FA7D90">
        <w:rPr>
          <w:rFonts w:ascii="Times New Roman" w:hAnsi="Times New Roman"/>
          <w:b/>
          <w:sz w:val="40"/>
          <w:szCs w:val="24"/>
        </w:rPr>
        <w:t>isericordia</w:t>
      </w:r>
    </w:p>
    <w:p w:rsidR="00F722E3" w:rsidRPr="00FA7D90" w:rsidRDefault="00F722E3" w:rsidP="00ED0283">
      <w:pPr>
        <w:pStyle w:val="Sottotitolocorsivo"/>
        <w:spacing w:line="240" w:lineRule="auto"/>
        <w:jc w:val="center"/>
        <w:rPr>
          <w:rFonts w:ascii="Times New Roman" w:hAnsi="Times New Roman" w:cs="Times New Roman"/>
          <w:b/>
          <w:color w:val="auto"/>
          <w:sz w:val="40"/>
          <w:szCs w:val="24"/>
        </w:rPr>
      </w:pPr>
      <w:r w:rsidRPr="00FA7D90">
        <w:rPr>
          <w:rFonts w:ascii="Times New Roman" w:hAnsi="Times New Roman" w:cs="Times New Roman"/>
          <w:b/>
          <w:color w:val="auto"/>
          <w:sz w:val="40"/>
          <w:szCs w:val="24"/>
        </w:rPr>
        <w:t>Analisi di impatto economico</w:t>
      </w:r>
    </w:p>
    <w:p w:rsidR="00F722E3" w:rsidRPr="00FA7D90" w:rsidRDefault="00F722E3" w:rsidP="00FA7D90">
      <w:pPr>
        <w:pStyle w:val="Corpotesto"/>
        <w:rPr>
          <w:rFonts w:ascii="Times New Roman" w:hAnsi="Times New Roman"/>
        </w:rPr>
      </w:pPr>
    </w:p>
    <w:p w:rsidR="00F722E3" w:rsidRDefault="00F722E3" w:rsidP="00FA7D90">
      <w:pPr>
        <w:pStyle w:val="Corpotesto"/>
        <w:jc w:val="center"/>
        <w:rPr>
          <w:rFonts w:ascii="Times New Roman" w:hAnsi="Times New Roman"/>
          <w:b/>
          <w:sz w:val="24"/>
        </w:rPr>
      </w:pPr>
    </w:p>
    <w:p w:rsidR="00F722E3" w:rsidRDefault="00F722E3" w:rsidP="00FA7D90">
      <w:pPr>
        <w:pStyle w:val="Corpotesto"/>
        <w:jc w:val="center"/>
        <w:rPr>
          <w:rFonts w:ascii="Times New Roman" w:hAnsi="Times New Roman"/>
          <w:b/>
          <w:sz w:val="24"/>
        </w:rPr>
      </w:pPr>
    </w:p>
    <w:p w:rsidR="00F722E3" w:rsidRPr="00FA7D90" w:rsidRDefault="00F722E3" w:rsidP="00FA7D90">
      <w:pPr>
        <w:pStyle w:val="Corpotesto"/>
        <w:jc w:val="center"/>
        <w:rPr>
          <w:rFonts w:ascii="Times New Roman" w:hAnsi="Times New Roman"/>
          <w:b/>
          <w:sz w:val="24"/>
        </w:rPr>
      </w:pPr>
      <w:r w:rsidRPr="00FA7D90">
        <w:rPr>
          <w:rFonts w:ascii="Times New Roman" w:hAnsi="Times New Roman"/>
          <w:b/>
          <w:sz w:val="24"/>
        </w:rPr>
        <w:t>Roma, 13 luglio 2015</w:t>
      </w:r>
    </w:p>
    <w:p w:rsidR="00F722E3" w:rsidRDefault="00F722E3" w:rsidP="004F5CAD">
      <w:pPr>
        <w:pStyle w:val="Titolo"/>
        <w:spacing w:before="0" w:after="120"/>
        <w:rPr>
          <w:rFonts w:ascii="Times New Roman" w:hAnsi="Times New Roman"/>
          <w:sz w:val="24"/>
          <w:szCs w:val="24"/>
        </w:rPr>
      </w:pPr>
    </w:p>
    <w:p w:rsidR="00F722E3" w:rsidRDefault="00F722E3" w:rsidP="00C717E0">
      <w:pPr>
        <w:rPr>
          <w:rFonts w:ascii="Times New Roman" w:hAnsi="Times New Roman"/>
          <w:lang w:eastAsia="it-IT"/>
        </w:rPr>
      </w:pPr>
    </w:p>
    <w:p w:rsidR="00F722E3" w:rsidRDefault="00F722E3" w:rsidP="00C717E0">
      <w:pPr>
        <w:rPr>
          <w:rFonts w:ascii="Times New Roman" w:hAnsi="Times New Roman"/>
          <w:lang w:eastAsia="it-IT"/>
        </w:rPr>
      </w:pPr>
    </w:p>
    <w:p w:rsidR="00F722E3" w:rsidRPr="00FA7D90" w:rsidRDefault="00F722E3" w:rsidP="00C717E0">
      <w:pPr>
        <w:rPr>
          <w:rFonts w:ascii="Times New Roman" w:hAnsi="Times New Roman"/>
          <w:lang w:eastAsia="it-IT"/>
        </w:rPr>
      </w:pPr>
    </w:p>
    <w:p w:rsidR="00F722E3" w:rsidRPr="00FA7D90" w:rsidRDefault="00751CAF" w:rsidP="004F5CAD">
      <w:pPr>
        <w:pStyle w:val="Paragrafoelenco"/>
        <w:spacing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Team</w:t>
      </w:r>
      <w:r w:rsidR="00F722E3" w:rsidRPr="00FA7D90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di ricerca</w:t>
      </w:r>
      <w:r w:rsidR="00F722E3" w:rsidRPr="00FA7D90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F722E3" w:rsidRPr="00FA7D90" w:rsidRDefault="00F722E3" w:rsidP="00751CAF">
      <w:pPr>
        <w:pStyle w:val="Paragrafoelenco"/>
        <w:spacing w:line="240" w:lineRule="auto"/>
        <w:ind w:left="1701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7D90">
        <w:rPr>
          <w:rFonts w:ascii="Times New Roman" w:hAnsi="Times New Roman"/>
          <w:sz w:val="24"/>
          <w:szCs w:val="24"/>
          <w:shd w:val="clear" w:color="auto" w:fill="FFFFFF"/>
        </w:rPr>
        <w:t>Prof. Giuseppe Ciccarone (Sapienza Università di Roma)</w:t>
      </w:r>
    </w:p>
    <w:p w:rsidR="00F722E3" w:rsidRPr="00FA7D90" w:rsidRDefault="00F722E3" w:rsidP="00751CAF">
      <w:pPr>
        <w:pStyle w:val="Paragrafoelenco"/>
        <w:spacing w:line="240" w:lineRule="auto"/>
        <w:ind w:left="1701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7D90">
        <w:rPr>
          <w:rFonts w:ascii="Times New Roman" w:hAnsi="Times New Roman"/>
          <w:sz w:val="24"/>
          <w:szCs w:val="24"/>
          <w:shd w:val="clear" w:color="auto" w:fill="FFFFFF"/>
        </w:rPr>
        <w:t>Prof. Giovanni Di Bartolomeo (Sapienza Università di Roma)</w:t>
      </w:r>
    </w:p>
    <w:p w:rsidR="00F722E3" w:rsidRPr="00FA7D90" w:rsidRDefault="00F722E3" w:rsidP="00751CAF">
      <w:pPr>
        <w:pStyle w:val="Paragrafoelenco"/>
        <w:spacing w:line="240" w:lineRule="auto"/>
        <w:ind w:left="1701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7D90">
        <w:rPr>
          <w:rFonts w:ascii="Times New Roman" w:hAnsi="Times New Roman"/>
          <w:sz w:val="24"/>
          <w:szCs w:val="24"/>
          <w:shd w:val="clear" w:color="auto" w:fill="FFFFFF"/>
        </w:rPr>
        <w:t>Prof. Silvia Fedeli (Sapienza Università di Roma)</w:t>
      </w:r>
    </w:p>
    <w:p w:rsidR="00F722E3" w:rsidRPr="00FA7D90" w:rsidRDefault="00F722E3" w:rsidP="00751CAF">
      <w:pPr>
        <w:pStyle w:val="Paragrafoelenco"/>
        <w:spacing w:line="240" w:lineRule="auto"/>
        <w:ind w:left="1701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7D90">
        <w:rPr>
          <w:rFonts w:ascii="Times New Roman" w:hAnsi="Times New Roman"/>
          <w:sz w:val="24"/>
          <w:szCs w:val="24"/>
          <w:shd w:val="clear" w:color="auto" w:fill="FFFFFF"/>
        </w:rPr>
        <w:t xml:space="preserve">Prof. Massimiliano </w:t>
      </w:r>
      <w:proofErr w:type="spellStart"/>
      <w:r w:rsidRPr="00FA7D90">
        <w:rPr>
          <w:rFonts w:ascii="Times New Roman" w:hAnsi="Times New Roman"/>
          <w:sz w:val="24"/>
          <w:szCs w:val="24"/>
          <w:shd w:val="clear" w:color="auto" w:fill="FFFFFF"/>
        </w:rPr>
        <w:t>Tancioni</w:t>
      </w:r>
      <w:proofErr w:type="spellEnd"/>
      <w:r w:rsidRPr="00FA7D90">
        <w:rPr>
          <w:rFonts w:ascii="Times New Roman" w:hAnsi="Times New Roman"/>
          <w:sz w:val="24"/>
          <w:szCs w:val="24"/>
          <w:shd w:val="clear" w:color="auto" w:fill="FFFFFF"/>
        </w:rPr>
        <w:t xml:space="preserve"> (Sapienza Università di Roma)</w:t>
      </w:r>
    </w:p>
    <w:p w:rsidR="00F722E3" w:rsidRPr="00FA7D90" w:rsidRDefault="00F722E3" w:rsidP="00ED0283">
      <w:pPr>
        <w:spacing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F722E3" w:rsidRDefault="00F722E3" w:rsidP="00ED0283">
      <w:pPr>
        <w:spacing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362AB1" w:rsidRDefault="00362AB1" w:rsidP="00ED0283">
      <w:pPr>
        <w:spacing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F722E3" w:rsidRDefault="00F722E3" w:rsidP="00E378ED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it-IT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Sapienza Università di Roma, Facoltà di Economia </w:t>
      </w:r>
    </w:p>
    <w:p w:rsidR="00E378ED" w:rsidRDefault="00E378ED">
      <w:pPr>
        <w:spacing w:after="0" w:line="240" w:lineRule="auto"/>
        <w:rPr>
          <w:rFonts w:ascii="Times New Roman" w:hAnsi="Times New Roman"/>
          <w:b/>
          <w:caps/>
          <w:sz w:val="24"/>
          <w:szCs w:val="24"/>
          <w:lang w:eastAsia="it-IT"/>
        </w:rPr>
      </w:pPr>
      <w:r>
        <w:rPr>
          <w:rFonts w:ascii="Times New Roman" w:hAnsi="Times New Roman"/>
          <w:b/>
          <w:caps/>
          <w:sz w:val="24"/>
          <w:szCs w:val="24"/>
          <w:lang w:eastAsia="it-IT"/>
        </w:rPr>
        <w:br w:type="page"/>
      </w:r>
    </w:p>
    <w:p w:rsidR="003D1EB5" w:rsidRDefault="003D1EB5" w:rsidP="00362AB1">
      <w:pPr>
        <w:spacing w:after="120" w:line="288" w:lineRule="auto"/>
        <w:jc w:val="both"/>
        <w:rPr>
          <w:rFonts w:ascii="Times New Roman" w:hAnsi="Times New Roman"/>
          <w:sz w:val="24"/>
          <w:szCs w:val="24"/>
          <w:lang w:eastAsia="it-IT"/>
        </w:rPr>
      </w:pPr>
    </w:p>
    <w:p w:rsidR="00362AB1" w:rsidRDefault="00362AB1" w:rsidP="00362AB1">
      <w:pPr>
        <w:spacing w:after="120" w:line="288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93F79">
        <w:rPr>
          <w:rFonts w:ascii="Times New Roman" w:hAnsi="Times New Roman"/>
          <w:sz w:val="24"/>
          <w:szCs w:val="24"/>
          <w:lang w:eastAsia="it-IT"/>
        </w:rPr>
        <w:t>Il Giubileo straordinario della Misericordia, indetto da Papa Francesco, avrà inizio l</w:t>
      </w:r>
      <w:r>
        <w:rPr>
          <w:rFonts w:ascii="Times New Roman" w:hAnsi="Times New Roman"/>
          <w:sz w:val="24"/>
          <w:szCs w:val="24"/>
          <w:lang w:eastAsia="it-IT"/>
        </w:rPr>
        <w:t>’</w:t>
      </w:r>
      <w:r w:rsidRPr="00E93F79">
        <w:rPr>
          <w:rFonts w:ascii="Times New Roman" w:hAnsi="Times New Roman"/>
          <w:sz w:val="24"/>
          <w:szCs w:val="24"/>
          <w:lang w:eastAsia="it-IT"/>
        </w:rPr>
        <w:t>8 dicembre 2015 e si concluderà il 20 novembre 2016.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Lo</w:t>
      </w:r>
      <w:r w:rsidRPr="006A0D6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studio svolto dalla Facoltà di Economia della Sapienza Università di Roma, in convenzione con la Camera di Commercio di Roma, mira a valutare </w:t>
      </w:r>
      <w:r w:rsidRPr="006A0D63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’</w:t>
      </w:r>
      <w:r w:rsidRPr="00AA35CB">
        <w:rPr>
          <w:rFonts w:ascii="Times New Roman" w:hAnsi="Times New Roman"/>
          <w:b/>
          <w:sz w:val="24"/>
          <w:szCs w:val="24"/>
        </w:rPr>
        <w:t xml:space="preserve">impatto </w:t>
      </w:r>
      <w:r>
        <w:rPr>
          <w:rFonts w:ascii="Times New Roman" w:hAnsi="Times New Roman"/>
          <w:b/>
          <w:sz w:val="24"/>
          <w:szCs w:val="24"/>
        </w:rPr>
        <w:t xml:space="preserve">a breve e medio termine </w:t>
      </w:r>
      <w:r w:rsidRPr="00AA35CB">
        <w:rPr>
          <w:rFonts w:ascii="Times New Roman" w:hAnsi="Times New Roman"/>
          <w:b/>
          <w:sz w:val="24"/>
          <w:szCs w:val="24"/>
        </w:rPr>
        <w:t xml:space="preserve">del Giubileo sul sistema economico romano </w:t>
      </w:r>
      <w:r>
        <w:rPr>
          <w:rFonts w:ascii="Times New Roman" w:hAnsi="Times New Roman"/>
          <w:sz w:val="24"/>
          <w:szCs w:val="24"/>
        </w:rPr>
        <w:t>utilizzando</w:t>
      </w:r>
      <w:r w:rsidRPr="006A0D63">
        <w:rPr>
          <w:rFonts w:ascii="Times New Roman" w:hAnsi="Times New Roman"/>
          <w:sz w:val="24"/>
          <w:szCs w:val="24"/>
        </w:rPr>
        <w:t xml:space="preserve"> un</w:t>
      </w:r>
      <w:r w:rsidRPr="006A0D63">
        <w:rPr>
          <w:rFonts w:ascii="Times New Roman" w:hAnsi="Times New Roman"/>
          <w:sz w:val="24"/>
          <w:szCs w:val="24"/>
          <w:shd w:val="clear" w:color="auto" w:fill="FFFFFF"/>
        </w:rPr>
        <w:t xml:space="preserve"> modello macro-econometrico dell</w:t>
      </w:r>
      <w:r>
        <w:rPr>
          <w:rFonts w:ascii="Times New Roman" w:hAnsi="Times New Roman"/>
          <w:sz w:val="24"/>
          <w:szCs w:val="24"/>
          <w:shd w:val="clear" w:color="auto" w:fill="FFFFFF"/>
        </w:rPr>
        <w:t>’</w:t>
      </w:r>
      <w:r w:rsidRPr="006A0D63">
        <w:rPr>
          <w:rFonts w:ascii="Times New Roman" w:hAnsi="Times New Roman"/>
          <w:sz w:val="24"/>
          <w:szCs w:val="24"/>
          <w:shd w:val="clear" w:color="auto" w:fill="FFFFFF"/>
        </w:rPr>
        <w:t>economia della Provincia di Roma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appositamente</w:t>
      </w:r>
      <w:r w:rsidRPr="006A0D63">
        <w:rPr>
          <w:rFonts w:ascii="Times New Roman" w:hAnsi="Times New Roman"/>
          <w:sz w:val="24"/>
          <w:szCs w:val="24"/>
          <w:shd w:val="clear" w:color="auto" w:fill="FFFFFF"/>
        </w:rPr>
        <w:t xml:space="preserve"> costruito a tal fine</w:t>
      </w:r>
      <w:r w:rsidRPr="002A64A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362AB1" w:rsidRDefault="00362AB1" w:rsidP="00362AB1">
      <w:pPr>
        <w:pStyle w:val="Paragrafoelenco"/>
        <w:spacing w:after="120" w:line="288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A0D63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’analisi fornisce risposte a due </w:t>
      </w:r>
      <w:r w:rsidRPr="006A0D63">
        <w:rPr>
          <w:rFonts w:ascii="Times New Roman" w:hAnsi="Times New Roman"/>
          <w:sz w:val="24"/>
          <w:szCs w:val="24"/>
        </w:rPr>
        <w:t>principali domande</w:t>
      </w:r>
      <w:r>
        <w:rPr>
          <w:rFonts w:ascii="Times New Roman" w:hAnsi="Times New Roman"/>
          <w:sz w:val="24"/>
          <w:szCs w:val="24"/>
        </w:rPr>
        <w:t>:</w:t>
      </w:r>
    </w:p>
    <w:p w:rsidR="00362AB1" w:rsidRPr="00035FB0" w:rsidRDefault="00362AB1" w:rsidP="00362AB1">
      <w:pPr>
        <w:pStyle w:val="Paragrafoelenco"/>
        <w:numPr>
          <w:ilvl w:val="0"/>
          <w:numId w:val="45"/>
        </w:numPr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  <w:r w:rsidRPr="00035FB0">
        <w:rPr>
          <w:rFonts w:ascii="Times New Roman" w:hAnsi="Times New Roman"/>
          <w:sz w:val="24"/>
          <w:szCs w:val="24"/>
        </w:rPr>
        <w:t>Quale sarà l</w:t>
      </w:r>
      <w:r>
        <w:rPr>
          <w:rFonts w:ascii="Times New Roman" w:hAnsi="Times New Roman"/>
          <w:sz w:val="24"/>
          <w:szCs w:val="24"/>
        </w:rPr>
        <w:t>’</w:t>
      </w:r>
      <w:r w:rsidRPr="00035FB0">
        <w:rPr>
          <w:rFonts w:ascii="Times New Roman" w:hAnsi="Times New Roman"/>
          <w:sz w:val="24"/>
          <w:szCs w:val="24"/>
        </w:rPr>
        <w:t>impatto del Giubileo sul reddito dell</w:t>
      </w:r>
      <w:r>
        <w:rPr>
          <w:rFonts w:ascii="Times New Roman" w:hAnsi="Times New Roman"/>
          <w:sz w:val="24"/>
          <w:szCs w:val="24"/>
        </w:rPr>
        <w:t>’</w:t>
      </w:r>
      <w:r w:rsidRPr="00035FB0">
        <w:rPr>
          <w:rFonts w:ascii="Times New Roman" w:hAnsi="Times New Roman"/>
          <w:sz w:val="24"/>
          <w:szCs w:val="24"/>
        </w:rPr>
        <w:t>economia romana e sul mercato del lavoro?</w:t>
      </w:r>
    </w:p>
    <w:p w:rsidR="00362AB1" w:rsidRPr="006A0D63" w:rsidRDefault="00362AB1" w:rsidP="00362AB1">
      <w:pPr>
        <w:pStyle w:val="Paragrafoelenco"/>
        <w:numPr>
          <w:ilvl w:val="0"/>
          <w:numId w:val="45"/>
        </w:numPr>
        <w:spacing w:after="120" w:line="288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A0D63">
        <w:rPr>
          <w:rFonts w:ascii="Times New Roman" w:hAnsi="Times New Roman"/>
          <w:sz w:val="24"/>
          <w:szCs w:val="24"/>
        </w:rPr>
        <w:t xml:space="preserve">Quale </w:t>
      </w:r>
      <w:r>
        <w:rPr>
          <w:rFonts w:ascii="Times New Roman" w:hAnsi="Times New Roman"/>
          <w:sz w:val="24"/>
          <w:szCs w:val="24"/>
        </w:rPr>
        <w:t>sarà</w:t>
      </w:r>
      <w:r w:rsidRPr="006A0D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il suo </w:t>
      </w:r>
      <w:r w:rsidRPr="006A0D63">
        <w:rPr>
          <w:rFonts w:ascii="Times New Roman" w:hAnsi="Times New Roman"/>
          <w:sz w:val="24"/>
          <w:szCs w:val="24"/>
        </w:rPr>
        <w:t>impatto sul gettito fiscale</w:t>
      </w:r>
      <w:r>
        <w:rPr>
          <w:rFonts w:ascii="Times New Roman" w:hAnsi="Times New Roman"/>
          <w:sz w:val="24"/>
          <w:szCs w:val="24"/>
        </w:rPr>
        <w:t xml:space="preserve"> e sul </w:t>
      </w:r>
      <w:r w:rsidR="00FA21FA">
        <w:rPr>
          <w:rFonts w:ascii="Times New Roman" w:hAnsi="Times New Roman"/>
          <w:sz w:val="24"/>
          <w:szCs w:val="24"/>
        </w:rPr>
        <w:t>saldo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tra maggiore spesa pubblica e maggiori entrate fiscali</w:t>
      </w:r>
      <w:r w:rsidRPr="006A0D63">
        <w:rPr>
          <w:rFonts w:ascii="Times New Roman" w:hAnsi="Times New Roman"/>
          <w:sz w:val="24"/>
          <w:szCs w:val="24"/>
        </w:rPr>
        <w:t xml:space="preserve">? </w:t>
      </w:r>
    </w:p>
    <w:p w:rsidR="00362AB1" w:rsidRPr="00E93F79" w:rsidRDefault="00362AB1" w:rsidP="00362AB1">
      <w:pPr>
        <w:spacing w:after="120" w:line="288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L’evidenza raccolta attraverso la simulazione econometrica può essere sintetizzata nel modo seguente.</w:t>
      </w:r>
    </w:p>
    <w:p w:rsidR="00362AB1" w:rsidRDefault="00362AB1" w:rsidP="00362AB1">
      <w:pPr>
        <w:pStyle w:val="Paragrafoelenco"/>
        <w:numPr>
          <w:ilvl w:val="0"/>
          <w:numId w:val="24"/>
        </w:numPr>
        <w:spacing w:after="120" w:line="288" w:lineRule="auto"/>
        <w:contextualSpacing w:val="0"/>
        <w:jc w:val="both"/>
        <w:rPr>
          <w:rFonts w:ascii="Times New Roman" w:hAnsi="Times New Roman"/>
          <w:sz w:val="24"/>
          <w:szCs w:val="24"/>
          <w:lang w:eastAsia="it-IT"/>
        </w:rPr>
      </w:pPr>
      <w:r w:rsidRPr="005B5424">
        <w:rPr>
          <w:rFonts w:ascii="Times New Roman" w:hAnsi="Times New Roman"/>
          <w:sz w:val="24"/>
          <w:szCs w:val="24"/>
          <w:lang w:eastAsia="it-IT"/>
        </w:rPr>
        <w:t>Le previsioni fornite dal modello indicano che il Giubileo contribuirà positivamente alla crescita dell</w:t>
      </w:r>
      <w:r>
        <w:rPr>
          <w:rFonts w:ascii="Times New Roman" w:hAnsi="Times New Roman"/>
          <w:sz w:val="24"/>
          <w:szCs w:val="24"/>
          <w:lang w:eastAsia="it-IT"/>
        </w:rPr>
        <w:t>’</w:t>
      </w:r>
      <w:r w:rsidRPr="005B5424">
        <w:rPr>
          <w:rFonts w:ascii="Times New Roman" w:hAnsi="Times New Roman"/>
          <w:sz w:val="24"/>
          <w:szCs w:val="24"/>
          <w:lang w:eastAsia="it-IT"/>
        </w:rPr>
        <w:t xml:space="preserve">economia romana. Nei diversi scenari di previsione, gli </w:t>
      </w:r>
      <w:r w:rsidRPr="005B5424">
        <w:rPr>
          <w:rFonts w:ascii="Times New Roman" w:hAnsi="Times New Roman"/>
          <w:b/>
          <w:sz w:val="24"/>
          <w:szCs w:val="24"/>
          <w:lang w:eastAsia="it-IT"/>
        </w:rPr>
        <w:t>incrementi percentuali cumulati del PIL tra il 2015 e il 2020 variano tra 2,1% e 2,4%</w:t>
      </w:r>
      <w:r w:rsidRPr="005B5424">
        <w:rPr>
          <w:rFonts w:ascii="Times New Roman" w:hAnsi="Times New Roman"/>
          <w:sz w:val="24"/>
          <w:szCs w:val="24"/>
          <w:lang w:eastAsia="it-IT"/>
        </w:rPr>
        <w:t xml:space="preserve"> rispetto allo scenario di controllo rappresentato dall</w:t>
      </w:r>
      <w:r>
        <w:rPr>
          <w:rFonts w:ascii="Times New Roman" w:hAnsi="Times New Roman"/>
          <w:sz w:val="24"/>
          <w:szCs w:val="24"/>
          <w:lang w:eastAsia="it-IT"/>
        </w:rPr>
        <w:t>’</w:t>
      </w:r>
      <w:r w:rsidRPr="005B5424">
        <w:rPr>
          <w:rFonts w:ascii="Times New Roman" w:hAnsi="Times New Roman"/>
          <w:sz w:val="24"/>
          <w:szCs w:val="24"/>
          <w:lang w:eastAsia="it-IT"/>
        </w:rPr>
        <w:t>assenza dell</w:t>
      </w:r>
      <w:r>
        <w:rPr>
          <w:rFonts w:ascii="Times New Roman" w:hAnsi="Times New Roman"/>
          <w:sz w:val="24"/>
          <w:szCs w:val="24"/>
          <w:lang w:eastAsia="it-IT"/>
        </w:rPr>
        <w:t>’</w:t>
      </w:r>
      <w:r w:rsidRPr="005B5424">
        <w:rPr>
          <w:rFonts w:ascii="Times New Roman" w:hAnsi="Times New Roman"/>
          <w:sz w:val="24"/>
          <w:szCs w:val="24"/>
          <w:lang w:eastAsia="it-IT"/>
        </w:rPr>
        <w:t xml:space="preserve">evento in </w:t>
      </w:r>
      <w:r w:rsidR="00EE3970">
        <w:rPr>
          <w:rFonts w:ascii="Times New Roman" w:hAnsi="Times New Roman"/>
          <w:sz w:val="24"/>
          <w:szCs w:val="24"/>
          <w:lang w:eastAsia="it-IT"/>
        </w:rPr>
        <w:t>questione</w:t>
      </w:r>
      <w:r w:rsidRPr="005B5424">
        <w:rPr>
          <w:rFonts w:ascii="Times New Roman" w:hAnsi="Times New Roman"/>
          <w:sz w:val="24"/>
          <w:szCs w:val="24"/>
          <w:lang w:eastAsia="it-IT"/>
        </w:rPr>
        <w:t>, con la maggiore crescita concentrata negli anni 2016 e 2017. In tutti gli scenari di previsione, gli incrementi in termini assoluti tra il 2015 e il 2018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5B5424">
        <w:rPr>
          <w:rFonts w:ascii="Times New Roman" w:hAnsi="Times New Roman"/>
          <w:sz w:val="24"/>
          <w:szCs w:val="24"/>
          <w:lang w:eastAsia="it-IT"/>
        </w:rPr>
        <w:t xml:space="preserve">vanno da quasi </w:t>
      </w:r>
      <w:r w:rsidRPr="005B5424">
        <w:rPr>
          <w:rFonts w:ascii="Times New Roman" w:hAnsi="Times New Roman"/>
          <w:b/>
          <w:sz w:val="24"/>
          <w:szCs w:val="24"/>
          <w:lang w:eastAsia="it-IT"/>
        </w:rPr>
        <w:t xml:space="preserve">11 </w:t>
      </w:r>
      <w:r>
        <w:rPr>
          <w:rFonts w:ascii="Times New Roman" w:hAnsi="Times New Roman"/>
          <w:b/>
          <w:sz w:val="24"/>
          <w:szCs w:val="24"/>
          <w:lang w:eastAsia="it-IT"/>
        </w:rPr>
        <w:t>miliardi</w:t>
      </w:r>
      <w:r w:rsidRPr="005B5424">
        <w:rPr>
          <w:rFonts w:ascii="Times New Roman" w:hAnsi="Times New Roman"/>
          <w:b/>
          <w:sz w:val="24"/>
          <w:szCs w:val="24"/>
          <w:lang w:eastAsia="it-IT"/>
        </w:rPr>
        <w:t xml:space="preserve"> di euro </w:t>
      </w:r>
      <w:r w:rsidRPr="005B5424">
        <w:rPr>
          <w:rFonts w:ascii="Times New Roman" w:hAnsi="Times New Roman"/>
          <w:sz w:val="24"/>
          <w:szCs w:val="24"/>
          <w:lang w:eastAsia="it-IT"/>
        </w:rPr>
        <w:t xml:space="preserve">nello scenario pessimista a </w:t>
      </w:r>
      <w:r w:rsidRPr="005B5424">
        <w:rPr>
          <w:rFonts w:ascii="Times New Roman" w:hAnsi="Times New Roman"/>
          <w:b/>
          <w:sz w:val="24"/>
          <w:szCs w:val="24"/>
          <w:lang w:eastAsia="it-IT"/>
        </w:rPr>
        <w:t xml:space="preserve">quasi 11,5 </w:t>
      </w:r>
      <w:r>
        <w:rPr>
          <w:rFonts w:ascii="Times New Roman" w:hAnsi="Times New Roman"/>
          <w:b/>
          <w:sz w:val="24"/>
          <w:szCs w:val="24"/>
          <w:lang w:eastAsia="it-IT"/>
        </w:rPr>
        <w:t>miliardi</w:t>
      </w:r>
      <w:r w:rsidRPr="005B5424">
        <w:rPr>
          <w:rFonts w:ascii="Times New Roman" w:hAnsi="Times New Roman"/>
          <w:b/>
          <w:sz w:val="24"/>
          <w:szCs w:val="24"/>
          <w:lang w:eastAsia="it-IT"/>
        </w:rPr>
        <w:t xml:space="preserve"> di euro</w:t>
      </w:r>
      <w:r w:rsidRPr="005B5424">
        <w:rPr>
          <w:rFonts w:ascii="Times New Roman" w:hAnsi="Times New Roman"/>
          <w:sz w:val="24"/>
          <w:szCs w:val="24"/>
          <w:lang w:eastAsia="it-IT"/>
        </w:rPr>
        <w:t xml:space="preserve"> in quello ottimista. Dopo una sostenuta accelerazione, che trova il suo picco all</w:t>
      </w:r>
      <w:r>
        <w:rPr>
          <w:rFonts w:ascii="Times New Roman" w:hAnsi="Times New Roman"/>
          <w:sz w:val="24"/>
          <w:szCs w:val="24"/>
          <w:lang w:eastAsia="it-IT"/>
        </w:rPr>
        <w:t>’</w:t>
      </w:r>
      <w:r w:rsidRPr="005B5424">
        <w:rPr>
          <w:rFonts w:ascii="Times New Roman" w:hAnsi="Times New Roman"/>
          <w:sz w:val="24"/>
          <w:szCs w:val="24"/>
          <w:lang w:eastAsia="it-IT"/>
        </w:rPr>
        <w:t xml:space="preserve">inizio del 2017, la dinamica del PIL reale intraprende una discesa nei trimestri successivi. </w:t>
      </w:r>
    </w:p>
    <w:p w:rsidR="00362AB1" w:rsidRDefault="00362AB1" w:rsidP="00362AB1">
      <w:pPr>
        <w:pStyle w:val="Paragrafoelenco"/>
        <w:numPr>
          <w:ilvl w:val="0"/>
          <w:numId w:val="24"/>
        </w:numPr>
        <w:spacing w:after="120" w:line="288" w:lineRule="auto"/>
        <w:contextualSpacing w:val="0"/>
        <w:jc w:val="both"/>
        <w:rPr>
          <w:rFonts w:ascii="Times New Roman" w:hAnsi="Times New Roman"/>
          <w:sz w:val="24"/>
          <w:szCs w:val="24"/>
          <w:lang w:eastAsia="it-IT"/>
        </w:rPr>
      </w:pPr>
      <w:r w:rsidRPr="00EE3955">
        <w:rPr>
          <w:rFonts w:ascii="Times New Roman" w:hAnsi="Times New Roman"/>
          <w:sz w:val="24"/>
          <w:szCs w:val="24"/>
          <w:lang w:eastAsia="it-IT"/>
        </w:rPr>
        <w:t xml:space="preserve">Il Giubileo </w:t>
      </w:r>
      <w:r>
        <w:rPr>
          <w:rFonts w:ascii="Times New Roman" w:hAnsi="Times New Roman"/>
          <w:sz w:val="24"/>
          <w:szCs w:val="24"/>
          <w:lang w:eastAsia="it-IT"/>
        </w:rPr>
        <w:t xml:space="preserve">genera </w:t>
      </w:r>
      <w:r w:rsidRPr="00EE3955">
        <w:rPr>
          <w:rFonts w:ascii="Times New Roman" w:hAnsi="Times New Roman"/>
          <w:sz w:val="24"/>
          <w:szCs w:val="24"/>
          <w:lang w:eastAsia="it-IT"/>
        </w:rPr>
        <w:t>effetti positi</w:t>
      </w:r>
      <w:r>
        <w:rPr>
          <w:rFonts w:ascii="Times New Roman" w:hAnsi="Times New Roman"/>
          <w:sz w:val="24"/>
          <w:szCs w:val="24"/>
          <w:lang w:eastAsia="it-IT"/>
        </w:rPr>
        <w:t>vi anche sul mercato del lavoro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 in tutti gli scenari considerati</w:t>
      </w:r>
      <w:r>
        <w:rPr>
          <w:rFonts w:ascii="Times New Roman" w:hAnsi="Times New Roman"/>
          <w:sz w:val="24"/>
          <w:szCs w:val="24"/>
          <w:lang w:eastAsia="it-IT"/>
        </w:rPr>
        <w:t>: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 tra il 2015 e il 2020, si rilevano variazioni positive sostanziali </w:t>
      </w:r>
      <w:r w:rsidRPr="00EE3955">
        <w:rPr>
          <w:rFonts w:ascii="Times New Roman" w:hAnsi="Times New Roman"/>
          <w:b/>
          <w:sz w:val="24"/>
          <w:szCs w:val="24"/>
          <w:lang w:eastAsia="it-IT"/>
        </w:rPr>
        <w:t>in termini di aumento dell</w:t>
      </w:r>
      <w:r>
        <w:rPr>
          <w:rFonts w:ascii="Times New Roman" w:hAnsi="Times New Roman"/>
          <w:b/>
          <w:sz w:val="24"/>
          <w:szCs w:val="24"/>
          <w:lang w:eastAsia="it-IT"/>
        </w:rPr>
        <w:t>’</w:t>
      </w:r>
      <w:r w:rsidRPr="00EE3955">
        <w:rPr>
          <w:rFonts w:ascii="Times New Roman" w:hAnsi="Times New Roman"/>
          <w:b/>
          <w:sz w:val="24"/>
          <w:szCs w:val="24"/>
          <w:lang w:eastAsia="it-IT"/>
        </w:rPr>
        <w:t xml:space="preserve">occupazione, riduzione del tasso di disoccupazione e aumento dei salari reali </w:t>
      </w:r>
      <w:r w:rsidRPr="00EE3955">
        <w:rPr>
          <w:rFonts w:ascii="Times New Roman" w:hAnsi="Times New Roman"/>
          <w:sz w:val="24"/>
          <w:szCs w:val="24"/>
          <w:lang w:eastAsia="it-IT"/>
        </w:rPr>
        <w:t>rispetto al benchmark di riferimento. Le variazioni dell</w:t>
      </w:r>
      <w:r>
        <w:rPr>
          <w:rFonts w:ascii="Times New Roman" w:hAnsi="Times New Roman"/>
          <w:sz w:val="24"/>
          <w:szCs w:val="24"/>
          <w:lang w:eastAsia="it-IT"/>
        </w:rPr>
        <w:t>’</w:t>
      </w:r>
      <w:r w:rsidRPr="00EE3955">
        <w:rPr>
          <w:rFonts w:ascii="Times New Roman" w:hAnsi="Times New Roman"/>
          <w:sz w:val="24"/>
          <w:szCs w:val="24"/>
          <w:lang w:eastAsia="it-IT"/>
        </w:rPr>
        <w:t>occupazione indotte dal Giubileo</w:t>
      </w:r>
      <w:r>
        <w:rPr>
          <w:rFonts w:ascii="Times New Roman" w:hAnsi="Times New Roman"/>
          <w:sz w:val="24"/>
          <w:szCs w:val="24"/>
          <w:lang w:eastAsia="it-IT"/>
        </w:rPr>
        <w:t xml:space="preserve"> risulta</w:t>
      </w:r>
      <w:r w:rsidRPr="00EE3955">
        <w:rPr>
          <w:rFonts w:ascii="Times New Roman" w:hAnsi="Times New Roman"/>
          <w:sz w:val="24"/>
          <w:szCs w:val="24"/>
          <w:lang w:eastAsia="it-IT"/>
        </w:rPr>
        <w:t>no in crescita fino all</w:t>
      </w:r>
      <w:r>
        <w:rPr>
          <w:rFonts w:ascii="Times New Roman" w:hAnsi="Times New Roman"/>
          <w:sz w:val="24"/>
          <w:szCs w:val="24"/>
          <w:lang w:eastAsia="it-IT"/>
        </w:rPr>
        <w:t>’</w:t>
      </w:r>
      <w:r w:rsidRPr="00EE3955">
        <w:rPr>
          <w:rFonts w:ascii="Times New Roman" w:hAnsi="Times New Roman"/>
          <w:sz w:val="24"/>
          <w:szCs w:val="24"/>
          <w:lang w:eastAsia="it-IT"/>
        </w:rPr>
        <w:t>inizio del 2017</w:t>
      </w:r>
      <w:r>
        <w:rPr>
          <w:rFonts w:ascii="Times New Roman" w:hAnsi="Times New Roman"/>
          <w:sz w:val="24"/>
          <w:szCs w:val="24"/>
          <w:lang w:eastAsia="it-IT"/>
        </w:rPr>
        <w:t>, per mostrare successivamente u</w:t>
      </w:r>
      <w:r w:rsidRPr="00EE3955">
        <w:rPr>
          <w:rFonts w:ascii="Times New Roman" w:hAnsi="Times New Roman"/>
          <w:sz w:val="24"/>
          <w:szCs w:val="24"/>
          <w:lang w:eastAsia="it-IT"/>
        </w:rPr>
        <w:t>n</w:t>
      </w:r>
      <w:r>
        <w:rPr>
          <w:rFonts w:ascii="Times New Roman" w:hAnsi="Times New Roman"/>
          <w:sz w:val="24"/>
          <w:szCs w:val="24"/>
          <w:lang w:eastAsia="it-IT"/>
        </w:rPr>
        <w:t>a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 progressiva riduzione, fino al pressoché totale azzeramento nel 2020. </w:t>
      </w:r>
      <w:r>
        <w:rPr>
          <w:rFonts w:ascii="Times New Roman" w:hAnsi="Times New Roman"/>
          <w:sz w:val="24"/>
          <w:szCs w:val="24"/>
          <w:lang w:eastAsia="it-IT"/>
        </w:rPr>
        <w:t xml:space="preserve">Il picco massimo della </w:t>
      </w:r>
      <w:r>
        <w:rPr>
          <w:rFonts w:ascii="Times New Roman" w:hAnsi="Times New Roman"/>
          <w:b/>
          <w:sz w:val="24"/>
          <w:szCs w:val="24"/>
          <w:lang w:eastAsia="it-IT"/>
        </w:rPr>
        <w:t>crescita</w:t>
      </w:r>
      <w:r w:rsidRPr="00931C3D">
        <w:rPr>
          <w:rFonts w:ascii="Times New Roman" w:hAnsi="Times New Roman"/>
          <w:b/>
          <w:sz w:val="24"/>
          <w:szCs w:val="24"/>
          <w:lang w:eastAsia="it-IT"/>
        </w:rPr>
        <w:t xml:space="preserve"> occupazionale</w:t>
      </w:r>
      <w:r>
        <w:rPr>
          <w:rFonts w:ascii="Times New Roman" w:hAnsi="Times New Roman"/>
          <w:sz w:val="24"/>
          <w:szCs w:val="24"/>
          <w:lang w:eastAsia="it-IT"/>
        </w:rPr>
        <w:t>, che in tu</w:t>
      </w:r>
      <w:r w:rsidR="00EE18EC">
        <w:rPr>
          <w:rFonts w:ascii="Times New Roman" w:hAnsi="Times New Roman"/>
          <w:sz w:val="24"/>
          <w:szCs w:val="24"/>
          <w:lang w:eastAsia="it-IT"/>
        </w:rPr>
        <w:t>t</w:t>
      </w:r>
      <w:r>
        <w:rPr>
          <w:rFonts w:ascii="Times New Roman" w:hAnsi="Times New Roman"/>
          <w:sz w:val="24"/>
          <w:szCs w:val="24"/>
          <w:lang w:eastAsia="it-IT"/>
        </w:rPr>
        <w:t xml:space="preserve">ti gli scenari avviene alla fine del 2016, registra valori compresi tra 4.300 e 5.300 </w:t>
      </w:r>
      <w:r w:rsidRPr="00EE3955">
        <w:rPr>
          <w:rFonts w:ascii="Times New Roman" w:hAnsi="Times New Roman"/>
          <w:sz w:val="24"/>
          <w:szCs w:val="24"/>
          <w:lang w:eastAsia="it-IT"/>
        </w:rPr>
        <w:t>unità di lavoro equivale</w:t>
      </w:r>
      <w:r>
        <w:rPr>
          <w:rFonts w:ascii="Times New Roman" w:hAnsi="Times New Roman"/>
          <w:sz w:val="24"/>
          <w:szCs w:val="24"/>
          <w:lang w:eastAsia="it-IT"/>
        </w:rPr>
        <w:t>nti a tempo pieno (ULA). Coerentemente, l’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andamento del tasso di disoccupazione mostra </w:t>
      </w:r>
      <w:r>
        <w:rPr>
          <w:rFonts w:ascii="Times New Roman" w:hAnsi="Times New Roman"/>
          <w:sz w:val="24"/>
          <w:szCs w:val="24"/>
          <w:lang w:eastAsia="it-IT"/>
        </w:rPr>
        <w:t>riduzioni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 sostenut</w:t>
      </w:r>
      <w:r>
        <w:rPr>
          <w:rFonts w:ascii="Times New Roman" w:hAnsi="Times New Roman"/>
          <w:sz w:val="24"/>
          <w:szCs w:val="24"/>
          <w:lang w:eastAsia="it-IT"/>
        </w:rPr>
        <w:t>e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 nel 2015-17 e torna</w:t>
      </w:r>
      <w:r>
        <w:rPr>
          <w:rFonts w:ascii="Times New Roman" w:hAnsi="Times New Roman"/>
          <w:sz w:val="24"/>
          <w:szCs w:val="24"/>
          <w:lang w:eastAsia="it-IT"/>
        </w:rPr>
        <w:t xml:space="preserve"> progressivamente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 al suo valore tendenziale nel 2020. </w:t>
      </w:r>
    </w:p>
    <w:p w:rsidR="00362AB1" w:rsidRDefault="00362AB1" w:rsidP="00362AB1">
      <w:pPr>
        <w:pStyle w:val="Paragrafoelenco"/>
        <w:numPr>
          <w:ilvl w:val="0"/>
          <w:numId w:val="24"/>
        </w:numPr>
        <w:spacing w:after="120" w:line="288" w:lineRule="auto"/>
        <w:contextualSpacing w:val="0"/>
        <w:jc w:val="both"/>
        <w:rPr>
          <w:rFonts w:ascii="Times New Roman" w:hAnsi="Times New Roman"/>
          <w:sz w:val="24"/>
          <w:szCs w:val="24"/>
          <w:lang w:eastAsia="it-IT"/>
        </w:rPr>
      </w:pPr>
      <w:r w:rsidRPr="00EE3955">
        <w:rPr>
          <w:rFonts w:ascii="Times New Roman" w:hAnsi="Times New Roman"/>
          <w:sz w:val="24"/>
          <w:szCs w:val="24"/>
          <w:lang w:eastAsia="it-IT"/>
        </w:rPr>
        <w:t>L</w:t>
      </w:r>
      <w:r>
        <w:rPr>
          <w:rFonts w:ascii="Times New Roman" w:hAnsi="Times New Roman"/>
          <w:sz w:val="24"/>
          <w:szCs w:val="24"/>
          <w:lang w:eastAsia="it-IT"/>
        </w:rPr>
        <w:t>’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effetto del Giubileo sulla dinamica inflazionistica dovrebbe essere invece decisamente limitato, con i </w:t>
      </w:r>
      <w:r w:rsidRPr="00EE3955">
        <w:rPr>
          <w:rFonts w:ascii="Times New Roman" w:hAnsi="Times New Roman"/>
          <w:b/>
          <w:sz w:val="24"/>
          <w:szCs w:val="24"/>
          <w:lang w:eastAsia="it-IT"/>
        </w:rPr>
        <w:t>prezzi al consumo in aumento, nei diversi scenari, tra lo 0,3% e lo 0,5%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 rispetto al benchmark.</w:t>
      </w:r>
    </w:p>
    <w:p w:rsidR="00362AB1" w:rsidRDefault="00362AB1" w:rsidP="00362AB1">
      <w:pPr>
        <w:pStyle w:val="Paragrafoelenco"/>
        <w:numPr>
          <w:ilvl w:val="0"/>
          <w:numId w:val="24"/>
        </w:numPr>
        <w:spacing w:after="120" w:line="288" w:lineRule="auto"/>
        <w:contextualSpacing w:val="0"/>
        <w:jc w:val="both"/>
        <w:rPr>
          <w:rFonts w:ascii="Times New Roman" w:hAnsi="Times New Roman"/>
          <w:sz w:val="24"/>
          <w:szCs w:val="24"/>
          <w:lang w:eastAsia="it-IT"/>
        </w:rPr>
      </w:pPr>
      <w:r w:rsidRPr="00EE3955">
        <w:rPr>
          <w:rFonts w:ascii="Times New Roman" w:hAnsi="Times New Roman"/>
          <w:sz w:val="24"/>
          <w:szCs w:val="24"/>
          <w:lang w:eastAsia="it-IT"/>
        </w:rPr>
        <w:lastRenderedPageBreak/>
        <w:t>Riguardo all</w:t>
      </w:r>
      <w:r>
        <w:rPr>
          <w:rFonts w:ascii="Times New Roman" w:hAnsi="Times New Roman"/>
          <w:sz w:val="24"/>
          <w:szCs w:val="24"/>
          <w:lang w:eastAsia="it-IT"/>
        </w:rPr>
        <w:t>’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impatto settoriale, si evidenzia </w:t>
      </w:r>
      <w:r>
        <w:rPr>
          <w:rFonts w:ascii="Times New Roman" w:hAnsi="Times New Roman"/>
          <w:sz w:val="24"/>
          <w:szCs w:val="24"/>
          <w:lang w:eastAsia="it-IT"/>
        </w:rPr>
        <w:t>un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600D80">
        <w:rPr>
          <w:rFonts w:ascii="Times New Roman" w:hAnsi="Times New Roman"/>
          <w:b/>
          <w:sz w:val="24"/>
          <w:szCs w:val="24"/>
          <w:lang w:eastAsia="it-IT"/>
        </w:rPr>
        <w:t xml:space="preserve">effetto particolarmente significativo </w:t>
      </w:r>
      <w:r>
        <w:rPr>
          <w:rFonts w:ascii="Times New Roman" w:hAnsi="Times New Roman"/>
          <w:b/>
          <w:sz w:val="24"/>
          <w:szCs w:val="24"/>
          <w:lang w:eastAsia="it-IT"/>
        </w:rPr>
        <w:t>su</w:t>
      </w:r>
      <w:r w:rsidRPr="00600D80">
        <w:rPr>
          <w:rFonts w:ascii="Times New Roman" w:hAnsi="Times New Roman"/>
          <w:b/>
          <w:sz w:val="24"/>
          <w:szCs w:val="24"/>
          <w:lang w:eastAsia="it-IT"/>
        </w:rPr>
        <w:t>l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600D80">
        <w:rPr>
          <w:rFonts w:ascii="Times New Roman" w:hAnsi="Times New Roman"/>
          <w:b/>
          <w:sz w:val="24"/>
          <w:szCs w:val="24"/>
          <w:lang w:eastAsia="it-IT"/>
        </w:rPr>
        <w:t>settore dei servizi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, </w:t>
      </w:r>
      <w:r>
        <w:rPr>
          <w:rFonts w:ascii="Times New Roman" w:hAnsi="Times New Roman"/>
          <w:sz w:val="24"/>
          <w:szCs w:val="24"/>
          <w:lang w:eastAsia="it-IT"/>
        </w:rPr>
        <w:t xml:space="preserve">che è </w:t>
      </w:r>
      <w:r w:rsidRPr="00EE3955">
        <w:rPr>
          <w:rFonts w:ascii="Times New Roman" w:hAnsi="Times New Roman"/>
          <w:sz w:val="24"/>
          <w:szCs w:val="24"/>
          <w:lang w:eastAsia="it-IT"/>
        </w:rPr>
        <w:t>quello maggiormente coinvolto nell</w:t>
      </w:r>
      <w:r>
        <w:rPr>
          <w:rFonts w:ascii="Times New Roman" w:hAnsi="Times New Roman"/>
          <w:sz w:val="24"/>
          <w:szCs w:val="24"/>
          <w:lang w:eastAsia="it-IT"/>
        </w:rPr>
        <w:t>’</w:t>
      </w:r>
      <w:r w:rsidRPr="00EE3955">
        <w:rPr>
          <w:rFonts w:ascii="Times New Roman" w:hAnsi="Times New Roman"/>
          <w:sz w:val="24"/>
          <w:szCs w:val="24"/>
          <w:lang w:eastAsia="it-IT"/>
        </w:rPr>
        <w:t>evento</w:t>
      </w:r>
      <w:r>
        <w:rPr>
          <w:rFonts w:ascii="Times New Roman" w:hAnsi="Times New Roman"/>
          <w:sz w:val="24"/>
          <w:szCs w:val="24"/>
          <w:lang w:eastAsia="it-IT"/>
        </w:rPr>
        <w:t xml:space="preserve"> e che genera un aumento di prodotto che oscilla, nei diversi scenari, tra l’87,2% e l’87,4% del totale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. </w:t>
      </w:r>
    </w:p>
    <w:p w:rsidR="00362AB1" w:rsidRPr="00EE3955" w:rsidRDefault="00362AB1" w:rsidP="00362AB1">
      <w:pPr>
        <w:pStyle w:val="Paragrafoelenco"/>
        <w:numPr>
          <w:ilvl w:val="0"/>
          <w:numId w:val="24"/>
        </w:numPr>
        <w:spacing w:after="120" w:line="288" w:lineRule="auto"/>
        <w:contextualSpacing w:val="0"/>
        <w:jc w:val="both"/>
        <w:rPr>
          <w:rFonts w:ascii="Times New Roman" w:hAnsi="Times New Roman"/>
          <w:sz w:val="24"/>
          <w:szCs w:val="24"/>
          <w:lang w:eastAsia="it-IT"/>
        </w:rPr>
      </w:pPr>
      <w:r w:rsidRPr="00EE3955">
        <w:rPr>
          <w:rFonts w:ascii="Times New Roman" w:hAnsi="Times New Roman"/>
          <w:sz w:val="24"/>
          <w:szCs w:val="24"/>
          <w:lang w:eastAsia="it-IT"/>
        </w:rPr>
        <w:t xml:space="preserve">Analizzando gli effetti del Giubileo sulle diverse componenti della domanda aggregata si evidenzia la rilevanza della </w:t>
      </w:r>
      <w:r w:rsidRPr="00EE3955">
        <w:rPr>
          <w:rFonts w:ascii="Times New Roman" w:hAnsi="Times New Roman"/>
          <w:b/>
          <w:sz w:val="24"/>
          <w:szCs w:val="24"/>
          <w:lang w:eastAsia="it-IT"/>
        </w:rPr>
        <w:t>compone</w:t>
      </w:r>
      <w:r>
        <w:rPr>
          <w:rFonts w:ascii="Times New Roman" w:hAnsi="Times New Roman"/>
          <w:b/>
          <w:sz w:val="24"/>
          <w:szCs w:val="24"/>
          <w:lang w:eastAsia="it-IT"/>
        </w:rPr>
        <w:t>n</w:t>
      </w:r>
      <w:r w:rsidRPr="00EE3955">
        <w:rPr>
          <w:rFonts w:ascii="Times New Roman" w:hAnsi="Times New Roman"/>
          <w:b/>
          <w:sz w:val="24"/>
          <w:szCs w:val="24"/>
          <w:lang w:eastAsia="it-IT"/>
        </w:rPr>
        <w:t>te pubblica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 nel trainare </w:t>
      </w:r>
      <w:r>
        <w:rPr>
          <w:rFonts w:ascii="Times New Roman" w:hAnsi="Times New Roman"/>
          <w:sz w:val="24"/>
          <w:szCs w:val="24"/>
          <w:lang w:eastAsia="it-IT"/>
        </w:rPr>
        <w:t>l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o sviluppo del </w:t>
      </w:r>
      <w:r>
        <w:rPr>
          <w:rFonts w:ascii="Times New Roman" w:hAnsi="Times New Roman"/>
          <w:sz w:val="24"/>
          <w:szCs w:val="24"/>
          <w:lang w:eastAsia="it-IT"/>
        </w:rPr>
        <w:t>territorio in tutti gli scenari, n</w:t>
      </w:r>
      <w:r w:rsidRPr="00EE3955">
        <w:rPr>
          <w:rFonts w:ascii="Times New Roman" w:hAnsi="Times New Roman"/>
          <w:sz w:val="24"/>
          <w:szCs w:val="24"/>
          <w:lang w:eastAsia="it-IT"/>
        </w:rPr>
        <w:t>onostante</w:t>
      </w:r>
      <w:r w:rsidRPr="00600D80">
        <w:rPr>
          <w:rFonts w:ascii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sz w:val="24"/>
          <w:szCs w:val="24"/>
          <w:lang w:eastAsia="it-IT"/>
        </w:rPr>
        <w:t>si siano fatte ipotesi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 molto pruden</w:t>
      </w:r>
      <w:r>
        <w:rPr>
          <w:rFonts w:ascii="Times New Roman" w:hAnsi="Times New Roman"/>
          <w:sz w:val="24"/>
          <w:szCs w:val="24"/>
          <w:lang w:eastAsia="it-IT"/>
        </w:rPr>
        <w:t>t</w:t>
      </w:r>
      <w:r w:rsidRPr="00EE3955">
        <w:rPr>
          <w:rFonts w:ascii="Times New Roman" w:hAnsi="Times New Roman"/>
          <w:sz w:val="24"/>
          <w:szCs w:val="24"/>
          <w:lang w:eastAsia="it-IT"/>
        </w:rPr>
        <w:t xml:space="preserve">i </w:t>
      </w:r>
      <w:r>
        <w:rPr>
          <w:rFonts w:ascii="Times New Roman" w:hAnsi="Times New Roman"/>
          <w:sz w:val="24"/>
          <w:szCs w:val="24"/>
          <w:lang w:eastAsia="it-IT"/>
        </w:rPr>
        <w:t>relativamente al</w:t>
      </w:r>
      <w:r w:rsidRPr="00EE3955">
        <w:rPr>
          <w:rFonts w:ascii="Times New Roman" w:hAnsi="Times New Roman"/>
          <w:sz w:val="24"/>
          <w:szCs w:val="24"/>
          <w:lang w:eastAsia="it-IT"/>
        </w:rPr>
        <w:t>l</w:t>
      </w:r>
      <w:r>
        <w:rPr>
          <w:rFonts w:ascii="Times New Roman" w:hAnsi="Times New Roman"/>
          <w:sz w:val="24"/>
          <w:szCs w:val="24"/>
          <w:lang w:eastAsia="it-IT"/>
        </w:rPr>
        <w:t>’</w:t>
      </w:r>
      <w:r w:rsidRPr="00EE3955">
        <w:rPr>
          <w:rFonts w:ascii="Times New Roman" w:hAnsi="Times New Roman"/>
          <w:sz w:val="24"/>
          <w:szCs w:val="24"/>
          <w:lang w:eastAsia="it-IT"/>
        </w:rPr>
        <w:t>intervento pubblico nella composizione degli scenari.</w:t>
      </w:r>
    </w:p>
    <w:p w:rsidR="00362AB1" w:rsidRPr="005B5424" w:rsidRDefault="00362AB1" w:rsidP="00362AB1">
      <w:pPr>
        <w:pStyle w:val="Paragrafoelenco"/>
        <w:numPr>
          <w:ilvl w:val="0"/>
          <w:numId w:val="24"/>
        </w:numPr>
        <w:spacing w:after="120" w:line="288" w:lineRule="auto"/>
        <w:contextualSpacing w:val="0"/>
        <w:jc w:val="both"/>
        <w:rPr>
          <w:rFonts w:ascii="Times New Roman" w:hAnsi="Times New Roman"/>
          <w:sz w:val="24"/>
          <w:szCs w:val="24"/>
          <w:lang w:eastAsia="it-IT"/>
        </w:rPr>
      </w:pPr>
      <w:r w:rsidRPr="005B5424">
        <w:rPr>
          <w:rFonts w:ascii="Times New Roman" w:hAnsi="Times New Roman"/>
          <w:sz w:val="24"/>
          <w:szCs w:val="24"/>
          <w:lang w:eastAsia="it-IT"/>
        </w:rPr>
        <w:t xml:space="preserve">Riguardo al settore pubblico, i </w:t>
      </w:r>
      <w:r w:rsidRPr="005B5424">
        <w:rPr>
          <w:rFonts w:ascii="Times New Roman" w:hAnsi="Times New Roman"/>
          <w:b/>
          <w:sz w:val="24"/>
          <w:szCs w:val="24"/>
          <w:lang w:eastAsia="it-IT"/>
        </w:rPr>
        <w:t>consumi pubblici potrebbero aumentare negli anni considerati di quasi il 23%</w:t>
      </w:r>
      <w:r w:rsidRPr="005B5424">
        <w:rPr>
          <w:rFonts w:ascii="Times New Roman" w:hAnsi="Times New Roman"/>
          <w:sz w:val="24"/>
          <w:szCs w:val="24"/>
          <w:lang w:eastAsia="it-IT"/>
        </w:rPr>
        <w:t xml:space="preserve"> rispetto allo scenario di controllo. Gli investimenti pubblici aumentano invece soltanto nello scenario pessimista, mentre diminuiscono negli altri due. La </w:t>
      </w:r>
      <w:r w:rsidRPr="005B5424">
        <w:rPr>
          <w:rFonts w:ascii="Times New Roman" w:hAnsi="Times New Roman"/>
          <w:b/>
          <w:sz w:val="24"/>
          <w:szCs w:val="24"/>
          <w:lang w:eastAsia="it-IT"/>
        </w:rPr>
        <w:t xml:space="preserve">tassazione diretta aumenta (tra lo 0,6% e lo 0,7%) </w:t>
      </w:r>
      <w:r w:rsidRPr="005B5424">
        <w:rPr>
          <w:rFonts w:ascii="Times New Roman" w:hAnsi="Times New Roman"/>
          <w:sz w:val="24"/>
          <w:szCs w:val="24"/>
          <w:lang w:eastAsia="it-IT"/>
        </w:rPr>
        <w:t>in tutti gli scenari di previsione</w:t>
      </w:r>
      <w:r w:rsidRPr="005B5424">
        <w:rPr>
          <w:rFonts w:ascii="Times New Roman" w:hAnsi="Times New Roman"/>
          <w:b/>
          <w:sz w:val="24"/>
          <w:szCs w:val="24"/>
          <w:lang w:eastAsia="it-IT"/>
        </w:rPr>
        <w:t xml:space="preserve"> </w:t>
      </w:r>
      <w:r w:rsidRPr="005B5424">
        <w:rPr>
          <w:rFonts w:ascii="Times New Roman" w:hAnsi="Times New Roman"/>
          <w:sz w:val="24"/>
          <w:szCs w:val="24"/>
          <w:lang w:eastAsia="it-IT"/>
        </w:rPr>
        <w:t xml:space="preserve">rispetto allo scenario di controllo, mentre </w:t>
      </w:r>
      <w:r w:rsidRPr="005B5424">
        <w:rPr>
          <w:rFonts w:ascii="Times New Roman" w:hAnsi="Times New Roman"/>
          <w:b/>
          <w:sz w:val="24"/>
          <w:szCs w:val="24"/>
          <w:lang w:eastAsia="it-IT"/>
        </w:rPr>
        <w:t>quella indiretta diminuisce nello scenario basso</w:t>
      </w:r>
      <w:r w:rsidRPr="005B5424">
        <w:rPr>
          <w:rFonts w:ascii="Times New Roman" w:hAnsi="Times New Roman"/>
          <w:sz w:val="24"/>
          <w:szCs w:val="24"/>
          <w:lang w:eastAsia="it-IT"/>
        </w:rPr>
        <w:t xml:space="preserve"> (-0,4%) </w:t>
      </w:r>
      <w:r>
        <w:rPr>
          <w:rFonts w:ascii="Times New Roman" w:hAnsi="Times New Roman"/>
          <w:b/>
          <w:sz w:val="24"/>
          <w:szCs w:val="24"/>
          <w:lang w:eastAsia="it-IT"/>
        </w:rPr>
        <w:t>ma</w:t>
      </w:r>
      <w:r w:rsidRPr="005B5424">
        <w:rPr>
          <w:rFonts w:ascii="Times New Roman" w:hAnsi="Times New Roman"/>
          <w:b/>
          <w:sz w:val="24"/>
          <w:szCs w:val="24"/>
          <w:lang w:eastAsia="it-IT"/>
        </w:rPr>
        <w:t xml:space="preserve"> aumenta negli altri due</w:t>
      </w:r>
      <w:r w:rsidRPr="005B5424">
        <w:rPr>
          <w:rFonts w:ascii="Times New Roman" w:hAnsi="Times New Roman"/>
          <w:sz w:val="24"/>
          <w:szCs w:val="24"/>
          <w:lang w:eastAsia="it-IT"/>
        </w:rPr>
        <w:t xml:space="preserve"> (+0,1% nello scenario medio e +0,4% in quello alto). </w:t>
      </w:r>
    </w:p>
    <w:p w:rsidR="00362AB1" w:rsidRPr="001A346B" w:rsidRDefault="00362AB1" w:rsidP="00362AB1">
      <w:pPr>
        <w:pStyle w:val="Paragrafoelenco"/>
        <w:numPr>
          <w:ilvl w:val="0"/>
          <w:numId w:val="24"/>
        </w:numPr>
        <w:spacing w:after="120" w:line="288" w:lineRule="auto"/>
        <w:contextualSpacing w:val="0"/>
        <w:jc w:val="both"/>
        <w:rPr>
          <w:rFonts w:ascii="Times New Roman" w:hAnsi="Times New Roman"/>
          <w:sz w:val="24"/>
          <w:szCs w:val="24"/>
          <w:lang w:eastAsia="it-IT"/>
        </w:rPr>
      </w:pPr>
      <w:r w:rsidRPr="00E753D3">
        <w:rPr>
          <w:rFonts w:ascii="Times New Roman" w:hAnsi="Times New Roman"/>
          <w:sz w:val="24"/>
          <w:szCs w:val="24"/>
          <w:lang w:eastAsia="it-IT"/>
        </w:rPr>
        <w:t>L</w:t>
      </w:r>
      <w:r>
        <w:rPr>
          <w:rFonts w:ascii="Times New Roman" w:hAnsi="Times New Roman"/>
          <w:sz w:val="24"/>
          <w:szCs w:val="24"/>
          <w:lang w:eastAsia="it-IT"/>
        </w:rPr>
        <w:t>’</w:t>
      </w:r>
      <w:r w:rsidRPr="00E753D3">
        <w:rPr>
          <w:rFonts w:ascii="Times New Roman" w:hAnsi="Times New Roman"/>
          <w:b/>
          <w:sz w:val="24"/>
          <w:szCs w:val="24"/>
          <w:lang w:eastAsia="it-IT"/>
        </w:rPr>
        <w:t>aumento cumulato delle entrate fiscali</w:t>
      </w:r>
      <w:r w:rsidRPr="00E753D3">
        <w:rPr>
          <w:rFonts w:ascii="Times New Roman" w:hAnsi="Times New Roman"/>
          <w:sz w:val="24"/>
          <w:szCs w:val="24"/>
          <w:lang w:eastAsia="it-IT"/>
        </w:rPr>
        <w:t xml:space="preserve"> prodotto dal Giubileo, sempre misurato rispetto al benchmark, </w:t>
      </w:r>
      <w:r w:rsidRPr="00E753D3">
        <w:rPr>
          <w:rFonts w:ascii="Times New Roman" w:hAnsi="Times New Roman"/>
          <w:b/>
          <w:sz w:val="24"/>
          <w:szCs w:val="24"/>
          <w:lang w:eastAsia="it-IT"/>
        </w:rPr>
        <w:t>dovrebbe essere particolarmente significativo</w:t>
      </w:r>
      <w:r w:rsidRPr="00E753D3">
        <w:rPr>
          <w:rFonts w:ascii="Times New Roman" w:hAnsi="Times New Roman"/>
          <w:sz w:val="24"/>
          <w:szCs w:val="24"/>
          <w:lang w:eastAsia="it-IT"/>
        </w:rPr>
        <w:t xml:space="preserve">, spaziando da quasi 250 milioni di euro nello scenario basso a oltre 604 milioni di euro nello scenario alto. </w:t>
      </w:r>
      <w:r>
        <w:rPr>
          <w:rFonts w:ascii="Times New Roman" w:hAnsi="Times New Roman"/>
          <w:sz w:val="24"/>
          <w:szCs w:val="24"/>
          <w:lang w:eastAsia="it-IT"/>
        </w:rPr>
        <w:t xml:space="preserve">Dato che la </w:t>
      </w:r>
      <w:r w:rsidRPr="00E753D3">
        <w:rPr>
          <w:rFonts w:ascii="Times New Roman" w:hAnsi="Times New Roman"/>
          <w:sz w:val="24"/>
          <w:szCs w:val="24"/>
          <w:lang w:eastAsia="it-IT"/>
        </w:rPr>
        <w:t>maggio</w:t>
      </w:r>
      <w:r>
        <w:rPr>
          <w:rFonts w:ascii="Times New Roman" w:hAnsi="Times New Roman"/>
          <w:sz w:val="24"/>
          <w:szCs w:val="24"/>
          <w:lang w:eastAsia="it-IT"/>
        </w:rPr>
        <w:t xml:space="preserve">re spesa pubblica complessivamente </w:t>
      </w:r>
      <w:r w:rsidRPr="00E753D3">
        <w:rPr>
          <w:rFonts w:ascii="Times New Roman" w:hAnsi="Times New Roman"/>
          <w:sz w:val="24"/>
          <w:szCs w:val="24"/>
          <w:lang w:eastAsia="it-IT"/>
        </w:rPr>
        <w:t xml:space="preserve">ipotizzata </w:t>
      </w:r>
      <w:r>
        <w:rPr>
          <w:rFonts w:ascii="Times New Roman" w:hAnsi="Times New Roman"/>
          <w:sz w:val="24"/>
          <w:szCs w:val="24"/>
          <w:lang w:eastAsia="it-IT"/>
        </w:rPr>
        <w:t xml:space="preserve">nei vari scenari è </w:t>
      </w:r>
      <w:r w:rsidRPr="00E753D3">
        <w:rPr>
          <w:rFonts w:ascii="Times New Roman" w:hAnsi="Times New Roman"/>
          <w:sz w:val="24"/>
          <w:szCs w:val="24"/>
          <w:lang w:eastAsia="it-IT"/>
        </w:rPr>
        <w:t xml:space="preserve">pari a </w:t>
      </w:r>
      <w:r w:rsidRPr="00E753D3">
        <w:rPr>
          <w:rFonts w:ascii="Times New Roman" w:hAnsi="Times New Roman"/>
          <w:color w:val="000000"/>
          <w:sz w:val="24"/>
          <w:szCs w:val="24"/>
          <w:lang w:eastAsia="it-IT"/>
        </w:rPr>
        <w:t xml:space="preserve">588 milioni di euro, il soggetto pubblico subirebbe 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 xml:space="preserve">a causa del Giubileo </w:t>
      </w:r>
      <w:r w:rsidRPr="00E753D3">
        <w:rPr>
          <w:rFonts w:ascii="Times New Roman" w:hAnsi="Times New Roman"/>
          <w:color w:val="000000"/>
          <w:sz w:val="24"/>
          <w:szCs w:val="24"/>
          <w:lang w:eastAsia="it-IT"/>
        </w:rPr>
        <w:t xml:space="preserve">un </w:t>
      </w:r>
      <w:r w:rsidRPr="00E753D3">
        <w:rPr>
          <w:rFonts w:ascii="Times New Roman" w:hAnsi="Times New Roman"/>
          <w:b/>
          <w:color w:val="000000"/>
          <w:sz w:val="24"/>
          <w:szCs w:val="24"/>
          <w:lang w:eastAsia="it-IT"/>
        </w:rPr>
        <w:t xml:space="preserve">deficit fiscale </w:t>
      </w:r>
      <w:r w:rsidRPr="00E753D3">
        <w:rPr>
          <w:rFonts w:ascii="Times New Roman" w:hAnsi="Times New Roman"/>
          <w:color w:val="000000"/>
          <w:sz w:val="24"/>
          <w:szCs w:val="24"/>
          <w:lang w:eastAsia="it-IT"/>
        </w:rPr>
        <w:t>pari a quasi 340 milioni di euro</w:t>
      </w:r>
      <w:r w:rsidRPr="00E753D3">
        <w:rPr>
          <w:rFonts w:ascii="Times New Roman" w:hAnsi="Times New Roman"/>
          <w:b/>
          <w:color w:val="000000"/>
          <w:sz w:val="24"/>
          <w:szCs w:val="24"/>
          <w:lang w:eastAsia="it-IT"/>
        </w:rPr>
        <w:t xml:space="preserve"> nello scenario pessimista e </w:t>
      </w:r>
      <w:r w:rsidRPr="00E753D3">
        <w:rPr>
          <w:rFonts w:ascii="Times New Roman" w:hAnsi="Times New Roman"/>
          <w:color w:val="000000"/>
          <w:sz w:val="24"/>
          <w:szCs w:val="24"/>
          <w:lang w:eastAsia="it-IT"/>
        </w:rPr>
        <w:t>a quasi 161 milioni di euro</w:t>
      </w:r>
      <w:r w:rsidRPr="00E753D3">
        <w:rPr>
          <w:rFonts w:ascii="Times New Roman" w:hAnsi="Times New Roman"/>
          <w:b/>
          <w:color w:val="000000"/>
          <w:sz w:val="24"/>
          <w:szCs w:val="24"/>
          <w:lang w:eastAsia="it-IT"/>
        </w:rPr>
        <w:t xml:space="preserve"> nello scenario medio</w:t>
      </w:r>
      <w:r w:rsidR="00EE18EC">
        <w:rPr>
          <w:rFonts w:ascii="Times New Roman" w:hAnsi="Times New Roman"/>
          <w:color w:val="000000"/>
          <w:sz w:val="24"/>
          <w:szCs w:val="24"/>
          <w:lang w:eastAsia="it-IT"/>
        </w:rPr>
        <w:t>, ma riuscirebbe a</w:t>
      </w:r>
      <w:r w:rsidRPr="00E753D3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ottenere un </w:t>
      </w:r>
      <w:r w:rsidRPr="00E753D3">
        <w:rPr>
          <w:rFonts w:ascii="Times New Roman" w:hAnsi="Times New Roman"/>
          <w:b/>
          <w:color w:val="000000"/>
          <w:sz w:val="24"/>
          <w:szCs w:val="24"/>
          <w:lang w:eastAsia="it-IT"/>
        </w:rPr>
        <w:t>surplus di oltre 16 milioni di euro nello scenario ottimista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. Ciò suggerisce di dedicare particolare attenzione alle misure di politica economica capaci di massimizzare gli afflu</w:t>
      </w:r>
      <w:r w:rsidR="00EE18EC">
        <w:rPr>
          <w:rFonts w:ascii="Times New Roman" w:hAnsi="Times New Roman"/>
          <w:color w:val="000000"/>
          <w:sz w:val="24"/>
          <w:szCs w:val="24"/>
          <w:lang w:eastAsia="it-IT"/>
        </w:rPr>
        <w:t>ssi turistici (sicurezza, sanità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, corretta comunicazione delle misure introdotte, ecc.).</w:t>
      </w:r>
    </w:p>
    <w:p w:rsidR="00362AB1" w:rsidRPr="00931C3D" w:rsidRDefault="00362AB1" w:rsidP="00362AB1">
      <w:pPr>
        <w:pStyle w:val="Paragrafoelenco"/>
        <w:numPr>
          <w:ilvl w:val="0"/>
          <w:numId w:val="24"/>
        </w:numPr>
        <w:spacing w:after="120" w:line="288" w:lineRule="auto"/>
        <w:contextualSpacing w:val="0"/>
        <w:jc w:val="both"/>
        <w:rPr>
          <w:rFonts w:ascii="Times New Roman" w:hAnsi="Times New Roman"/>
          <w:sz w:val="24"/>
          <w:szCs w:val="24"/>
          <w:lang w:eastAsia="it-IT"/>
        </w:rPr>
      </w:pPr>
      <w:r w:rsidRPr="001A346B">
        <w:rPr>
          <w:rFonts w:ascii="Times New Roman" w:hAnsi="Times New Roman"/>
          <w:sz w:val="24"/>
          <w:szCs w:val="24"/>
          <w:lang w:eastAsia="it-IT"/>
        </w:rPr>
        <w:t xml:space="preserve">Qualora il Giubileo della Misericordia producesse lo stesso effetto sulle presenze turistiche </w:t>
      </w:r>
      <w:r>
        <w:rPr>
          <w:rFonts w:ascii="Times New Roman" w:hAnsi="Times New Roman"/>
          <w:sz w:val="24"/>
          <w:szCs w:val="24"/>
          <w:lang w:eastAsia="it-IT"/>
        </w:rPr>
        <w:t xml:space="preserve">di quello </w:t>
      </w:r>
      <w:r w:rsidRPr="00DE7410">
        <w:rPr>
          <w:rFonts w:ascii="Times New Roman" w:hAnsi="Times New Roman"/>
          <w:sz w:val="24"/>
          <w:szCs w:val="24"/>
          <w:lang w:eastAsia="it-IT"/>
        </w:rPr>
        <w:t>del 2000</w:t>
      </w:r>
      <w:r>
        <w:rPr>
          <w:rFonts w:ascii="Times New Roman" w:hAnsi="Times New Roman"/>
          <w:sz w:val="24"/>
          <w:szCs w:val="24"/>
          <w:lang w:eastAsia="it-IT"/>
        </w:rPr>
        <w:t xml:space="preserve">, 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ipotesi </w:t>
      </w:r>
      <w:r>
        <w:rPr>
          <w:rFonts w:ascii="Times New Roman" w:hAnsi="Times New Roman"/>
          <w:sz w:val="24"/>
          <w:szCs w:val="24"/>
          <w:lang w:eastAsia="it-IT"/>
        </w:rPr>
        <w:t>ovviamente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sz w:val="24"/>
          <w:szCs w:val="24"/>
          <w:lang w:eastAsia="it-IT"/>
        </w:rPr>
        <w:t xml:space="preserve">molto 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improbabile, </w:t>
      </w:r>
      <w:r>
        <w:rPr>
          <w:rFonts w:ascii="Times New Roman" w:hAnsi="Times New Roman"/>
          <w:sz w:val="24"/>
          <w:szCs w:val="24"/>
          <w:lang w:eastAsia="it-IT"/>
        </w:rPr>
        <w:t>g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li 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 xml:space="preserve">incrementi percentuali cumulati del PIL </w:t>
      </w:r>
      <w:r w:rsidRPr="001A346B">
        <w:rPr>
          <w:rFonts w:ascii="Times New Roman" w:hAnsi="Times New Roman"/>
          <w:sz w:val="24"/>
          <w:szCs w:val="24"/>
          <w:lang w:eastAsia="it-IT"/>
        </w:rPr>
        <w:t>rispetto al benchmark raggiung</w:t>
      </w:r>
      <w:r>
        <w:rPr>
          <w:rFonts w:ascii="Times New Roman" w:hAnsi="Times New Roman"/>
          <w:sz w:val="24"/>
          <w:szCs w:val="24"/>
          <w:lang w:eastAsia="it-IT"/>
        </w:rPr>
        <w:t>erebbero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 il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 xml:space="preserve"> 2,5% 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già 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>nel 2017</w:t>
      </w:r>
      <w:r w:rsidRPr="001A346B">
        <w:rPr>
          <w:rFonts w:ascii="Times New Roman" w:hAnsi="Times New Roman"/>
          <w:sz w:val="24"/>
          <w:szCs w:val="24"/>
          <w:lang w:eastAsia="it-IT"/>
        </w:rPr>
        <w:t>,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 xml:space="preserve"> 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quando gli 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 xml:space="preserve">incrementi </w:t>
      </w:r>
      <w:r w:rsidRPr="001A346B">
        <w:rPr>
          <w:rFonts w:ascii="Times New Roman" w:hAnsi="Times New Roman"/>
          <w:sz w:val="24"/>
          <w:szCs w:val="24"/>
          <w:lang w:eastAsia="it-IT"/>
        </w:rPr>
        <w:t>in termini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 xml:space="preserve"> assoluti </w:t>
      </w:r>
      <w:r>
        <w:rPr>
          <w:rFonts w:ascii="Times New Roman" w:hAnsi="Times New Roman"/>
          <w:sz w:val="24"/>
          <w:szCs w:val="24"/>
          <w:lang w:eastAsia="it-IT"/>
        </w:rPr>
        <w:t>sarebbero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sz w:val="24"/>
          <w:szCs w:val="24"/>
          <w:lang w:eastAsia="it-IT"/>
        </w:rPr>
        <w:t>di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 oltre 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 xml:space="preserve">11,7 miliardi </w:t>
      </w:r>
      <w:r w:rsidRPr="001A346B">
        <w:rPr>
          <w:rFonts w:ascii="Times New Roman" w:hAnsi="Times New Roman"/>
          <w:sz w:val="24"/>
          <w:szCs w:val="24"/>
          <w:lang w:eastAsia="it-IT"/>
        </w:rPr>
        <w:t>di euro, l’87% dei quali nel settore dei servizi. Tra il 2015 e il 2018 l’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>occupazione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>aument</w:t>
      </w:r>
      <w:r>
        <w:rPr>
          <w:rFonts w:ascii="Times New Roman" w:hAnsi="Times New Roman"/>
          <w:b/>
          <w:sz w:val="24"/>
          <w:szCs w:val="24"/>
          <w:lang w:eastAsia="it-IT"/>
        </w:rPr>
        <w:t>erebbe</w:t>
      </w:r>
      <w:r>
        <w:rPr>
          <w:rFonts w:ascii="Times New Roman" w:hAnsi="Times New Roman"/>
          <w:sz w:val="24"/>
          <w:szCs w:val="24"/>
          <w:lang w:eastAsia="it-IT"/>
        </w:rPr>
        <w:t>,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 xml:space="preserve"> </w:t>
      </w:r>
      <w:r w:rsidRPr="00931C3D">
        <w:rPr>
          <w:rFonts w:ascii="Times New Roman" w:hAnsi="Times New Roman"/>
          <w:sz w:val="24"/>
          <w:szCs w:val="24"/>
          <w:lang w:eastAsia="it-IT"/>
        </w:rPr>
        <w:t xml:space="preserve">nel suo picco massimo, a fine 2016, </w:t>
      </w:r>
      <w:r>
        <w:rPr>
          <w:rFonts w:ascii="Times New Roman" w:hAnsi="Times New Roman"/>
          <w:sz w:val="24"/>
          <w:szCs w:val="24"/>
          <w:lang w:eastAsia="it-IT"/>
        </w:rPr>
        <w:t xml:space="preserve">l’incremento sarebbe </w:t>
      </w:r>
      <w:r>
        <w:rPr>
          <w:rFonts w:ascii="Times New Roman" w:hAnsi="Times New Roman"/>
          <w:b/>
          <w:sz w:val="24"/>
          <w:szCs w:val="24"/>
          <w:lang w:eastAsia="it-IT"/>
        </w:rPr>
        <w:t>+0,3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>5%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sz w:val="24"/>
          <w:szCs w:val="24"/>
          <w:lang w:eastAsia="it-IT"/>
        </w:rPr>
        <w:t>(+</w:t>
      </w:r>
      <w:r w:rsidRPr="00931C3D">
        <w:rPr>
          <w:rFonts w:ascii="Times New Roman" w:hAnsi="Times New Roman"/>
          <w:sz w:val="24"/>
          <w:szCs w:val="24"/>
          <w:lang w:eastAsia="it-IT"/>
        </w:rPr>
        <w:t>6</w:t>
      </w:r>
      <w:r>
        <w:rPr>
          <w:rFonts w:ascii="Times New Roman" w:hAnsi="Times New Roman"/>
          <w:sz w:val="24"/>
          <w:szCs w:val="24"/>
          <w:lang w:eastAsia="it-IT"/>
        </w:rPr>
        <w:t>.</w:t>
      </w:r>
      <w:r w:rsidRPr="00931C3D">
        <w:rPr>
          <w:rFonts w:ascii="Times New Roman" w:hAnsi="Times New Roman"/>
          <w:sz w:val="24"/>
          <w:szCs w:val="24"/>
          <w:lang w:eastAsia="it-IT"/>
        </w:rPr>
        <w:t>160</w:t>
      </w:r>
      <w:r>
        <w:rPr>
          <w:rFonts w:ascii="Times New Roman" w:hAnsi="Times New Roman"/>
          <w:sz w:val="24"/>
          <w:szCs w:val="24"/>
          <w:lang w:eastAsia="it-IT"/>
        </w:rPr>
        <w:t xml:space="preserve"> ULA) 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e il 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 xml:space="preserve">tasso di disoccupazione </w:t>
      </w:r>
      <w:r>
        <w:rPr>
          <w:rFonts w:ascii="Times New Roman" w:hAnsi="Times New Roman"/>
          <w:b/>
          <w:sz w:val="24"/>
          <w:szCs w:val="24"/>
          <w:lang w:eastAsia="it-IT"/>
        </w:rPr>
        <w:t>si ridurrebbe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it-IT"/>
        </w:rPr>
        <w:t>del 2,9%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. L’inflazione </w:t>
      </w:r>
      <w:r>
        <w:rPr>
          <w:rFonts w:ascii="Times New Roman" w:hAnsi="Times New Roman"/>
          <w:sz w:val="24"/>
          <w:szCs w:val="24"/>
          <w:lang w:eastAsia="it-IT"/>
        </w:rPr>
        <w:t>rimarr</w:t>
      </w:r>
      <w:r w:rsidRPr="001A346B">
        <w:rPr>
          <w:rFonts w:ascii="Times New Roman" w:hAnsi="Times New Roman"/>
          <w:sz w:val="24"/>
          <w:szCs w:val="24"/>
          <w:lang w:eastAsia="it-IT"/>
        </w:rPr>
        <w:t>e</w:t>
      </w:r>
      <w:r>
        <w:rPr>
          <w:rFonts w:ascii="Times New Roman" w:hAnsi="Times New Roman"/>
          <w:sz w:val="24"/>
          <w:szCs w:val="24"/>
          <w:lang w:eastAsia="it-IT"/>
        </w:rPr>
        <w:t>bbe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 molto bassa (prezzi al consumo in aumento dello 0,37% rispetto al benchmark). L’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>aumento cumulato delle entrate fiscali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, sempre rispetto al benchmark, </w:t>
      </w:r>
      <w:r>
        <w:rPr>
          <w:rFonts w:ascii="Times New Roman" w:hAnsi="Times New Roman"/>
          <w:sz w:val="24"/>
          <w:szCs w:val="24"/>
          <w:lang w:eastAsia="it-IT"/>
        </w:rPr>
        <w:t>sarebbe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 xml:space="preserve"> pari al 37%</w:t>
      </w:r>
      <w:r w:rsidRPr="001A346B">
        <w:rPr>
          <w:rFonts w:ascii="Times New Roman" w:hAnsi="Times New Roman"/>
          <w:sz w:val="24"/>
          <w:szCs w:val="24"/>
          <w:lang w:eastAsia="it-IT"/>
        </w:rPr>
        <w:t xml:space="preserve">, corrispondente a </w:t>
      </w:r>
      <w:r w:rsidRPr="001A346B">
        <w:rPr>
          <w:rFonts w:ascii="Times New Roman" w:hAnsi="Times New Roman"/>
          <w:b/>
          <w:sz w:val="24"/>
          <w:szCs w:val="24"/>
          <w:lang w:eastAsia="it-IT"/>
        </w:rPr>
        <w:t>832 milioni di euro</w:t>
      </w:r>
      <w:r w:rsidRPr="001A346B">
        <w:rPr>
          <w:rFonts w:ascii="Times New Roman" w:hAnsi="Times New Roman"/>
          <w:sz w:val="24"/>
          <w:szCs w:val="24"/>
          <w:lang w:eastAsia="it-IT"/>
        </w:rPr>
        <w:t>, mentre il</w:t>
      </w:r>
      <w:r w:rsidRPr="001A346B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 w:rsidRPr="001A346B">
        <w:rPr>
          <w:rFonts w:ascii="Times New Roman" w:hAnsi="Times New Roman"/>
          <w:b/>
          <w:color w:val="000000"/>
          <w:sz w:val="24"/>
          <w:szCs w:val="24"/>
          <w:lang w:eastAsia="it-IT"/>
        </w:rPr>
        <w:t xml:space="preserve">surplus fiscale </w:t>
      </w:r>
      <w:r w:rsidRPr="001A346B">
        <w:rPr>
          <w:rFonts w:ascii="Times New Roman" w:hAnsi="Times New Roman"/>
          <w:color w:val="000000"/>
          <w:sz w:val="24"/>
          <w:szCs w:val="24"/>
          <w:lang w:eastAsia="it-IT"/>
        </w:rPr>
        <w:t>aument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erebbe</w:t>
      </w:r>
      <w:r w:rsidRPr="001A346B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a</w:t>
      </w:r>
      <w:r w:rsidRPr="001A346B">
        <w:rPr>
          <w:rFonts w:ascii="Times New Roman" w:hAnsi="Times New Roman"/>
          <w:b/>
          <w:color w:val="000000"/>
          <w:sz w:val="24"/>
          <w:szCs w:val="24"/>
          <w:lang w:eastAsia="it-IT"/>
        </w:rPr>
        <w:t xml:space="preserve"> 244 milioni di euro</w:t>
      </w:r>
      <w:r w:rsidRPr="001A346B">
        <w:rPr>
          <w:rFonts w:ascii="Times New Roman" w:hAnsi="Times New Roman"/>
          <w:color w:val="000000"/>
          <w:sz w:val="24"/>
          <w:szCs w:val="24"/>
          <w:lang w:eastAsia="it-IT"/>
        </w:rPr>
        <w:t>.</w:t>
      </w:r>
    </w:p>
    <w:p w:rsidR="00D221DE" w:rsidRDefault="00D221DE">
      <w:pPr>
        <w:spacing w:after="0" w:line="240" w:lineRule="auto"/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</w:pPr>
    </w:p>
    <w:p w:rsidR="00362AB1" w:rsidRDefault="00362AB1">
      <w:pPr>
        <w:spacing w:after="0" w:line="240" w:lineRule="auto"/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</w:pPr>
    </w:p>
    <w:p w:rsidR="00362AB1" w:rsidRPr="00EE18EC" w:rsidRDefault="00362AB1" w:rsidP="00EE18EC">
      <w:pPr>
        <w:spacing w:after="0" w:line="240" w:lineRule="auto"/>
        <w:jc w:val="center"/>
        <w:rPr>
          <w:rFonts w:ascii="Times New Roman" w:hAnsi="Times New Roman"/>
          <w:i/>
          <w:color w:val="222222"/>
          <w:shd w:val="clear" w:color="auto" w:fill="FFFFFF"/>
        </w:rPr>
      </w:pPr>
      <w:r w:rsidRPr="00EE18EC">
        <w:rPr>
          <w:rFonts w:ascii="Times New Roman" w:hAnsi="Times New Roman"/>
          <w:i/>
          <w:color w:val="222222"/>
          <w:shd w:val="clear" w:color="auto" w:fill="FFFFFF"/>
        </w:rPr>
        <w:t>La ricerca completa sarà disponibile dal 13/07/2015 sul sito www.rm.camcom.it</w:t>
      </w:r>
    </w:p>
    <w:p w:rsidR="00362AB1" w:rsidRDefault="00362AB1">
      <w:pPr>
        <w:spacing w:after="0" w:line="240" w:lineRule="auto"/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</w:pPr>
    </w:p>
    <w:sectPr w:rsidR="00362AB1" w:rsidSect="00E378ED">
      <w:headerReference w:type="default" r:id="rId9"/>
      <w:footerReference w:type="default" r:id="rId10"/>
      <w:headerReference w:type="first" r:id="rId11"/>
      <w:pgSz w:w="11906" w:h="16838"/>
      <w:pgMar w:top="2835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806" w:rsidRDefault="000D5806" w:rsidP="00A867C7">
      <w:pPr>
        <w:spacing w:after="0" w:line="240" w:lineRule="auto"/>
      </w:pPr>
      <w:r>
        <w:separator/>
      </w:r>
    </w:p>
  </w:endnote>
  <w:endnote w:type="continuationSeparator" w:id="0">
    <w:p w:rsidR="000D5806" w:rsidRDefault="000D5806" w:rsidP="00A86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61F" w:rsidRPr="001B11AE" w:rsidRDefault="004E561F">
    <w:pPr>
      <w:pStyle w:val="Pidipagina"/>
      <w:jc w:val="center"/>
      <w:rPr>
        <w:rFonts w:ascii="Times New Roman" w:hAnsi="Times New Roman"/>
        <w:sz w:val="24"/>
        <w:szCs w:val="24"/>
      </w:rPr>
    </w:pPr>
    <w:r w:rsidRPr="001B11AE">
      <w:rPr>
        <w:rFonts w:ascii="Times New Roman" w:hAnsi="Times New Roman"/>
        <w:sz w:val="24"/>
        <w:szCs w:val="24"/>
      </w:rPr>
      <w:fldChar w:fldCharType="begin"/>
    </w:r>
    <w:r w:rsidRPr="001B11AE">
      <w:rPr>
        <w:rFonts w:ascii="Times New Roman" w:hAnsi="Times New Roman"/>
        <w:sz w:val="24"/>
        <w:szCs w:val="24"/>
      </w:rPr>
      <w:instrText>PAGE   \* MERGEFORMAT</w:instrText>
    </w:r>
    <w:r w:rsidRPr="001B11AE">
      <w:rPr>
        <w:rFonts w:ascii="Times New Roman" w:hAnsi="Times New Roman"/>
        <w:sz w:val="24"/>
        <w:szCs w:val="24"/>
      </w:rPr>
      <w:fldChar w:fldCharType="separate"/>
    </w:r>
    <w:r w:rsidR="00FA21FA">
      <w:rPr>
        <w:rFonts w:ascii="Times New Roman" w:hAnsi="Times New Roman"/>
        <w:noProof/>
        <w:sz w:val="24"/>
        <w:szCs w:val="24"/>
      </w:rPr>
      <w:t>1</w:t>
    </w:r>
    <w:r w:rsidRPr="001B11AE">
      <w:rPr>
        <w:rFonts w:ascii="Times New Roman" w:hAnsi="Times New Roman"/>
        <w:sz w:val="24"/>
        <w:szCs w:val="24"/>
      </w:rPr>
      <w:fldChar w:fldCharType="end"/>
    </w:r>
  </w:p>
  <w:p w:rsidR="004E561F" w:rsidRDefault="004E561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806" w:rsidRDefault="000D5806" w:rsidP="00A867C7">
      <w:pPr>
        <w:spacing w:after="0" w:line="240" w:lineRule="auto"/>
      </w:pPr>
      <w:r>
        <w:separator/>
      </w:r>
    </w:p>
  </w:footnote>
  <w:footnote w:type="continuationSeparator" w:id="0">
    <w:p w:rsidR="000D5806" w:rsidRDefault="000D5806" w:rsidP="00A86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8EC" w:rsidRDefault="00EE18EC" w:rsidP="00A867C7">
    <w:pPr>
      <w:pStyle w:val="Intestazione"/>
    </w:pPr>
  </w:p>
  <w:p w:rsidR="00EE18EC" w:rsidRDefault="00EE18EC" w:rsidP="00A867C7">
    <w:pPr>
      <w:pStyle w:val="Intestazione"/>
    </w:pPr>
  </w:p>
  <w:p w:rsidR="004E561F" w:rsidRDefault="004E561F" w:rsidP="00A867C7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3CA867" wp14:editId="6C15283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519680" cy="1625600"/>
          <wp:effectExtent l="0" t="0" r="0" b="0"/>
          <wp:wrapNone/>
          <wp:docPr id="3" name="Immagine 18" descr="Logo sapien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8" descr="Logo sapien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9680" cy="162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E561F" w:rsidRDefault="00EE18EC" w:rsidP="0081584C">
    <w:pPr>
      <w:pStyle w:val="Intestazione"/>
      <w:jc w:val="right"/>
    </w:pPr>
    <w:r w:rsidRPr="005834E6">
      <w:rPr>
        <w:rFonts w:ascii="Times New Roman" w:hAnsi="Times New Roman"/>
        <w:sz w:val="28"/>
        <w:szCs w:val="28"/>
      </w:rPr>
      <w:object w:dxaOrig="4724" w:dyaOrig="10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6.6pt;height:41.45pt" o:ole="">
          <v:imagedata r:id="rId2" o:title=""/>
        </v:shape>
        <o:OLEObject Type="Embed" ProgID="MSPhotoEd.3" ShapeID="_x0000_i1025" DrawAspect="Content" ObjectID="_1498305877" r:id="rId3"/>
      </w:obje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61F" w:rsidRDefault="004E561F">
    <w:pPr>
      <w:pStyle w:val="Intestazione"/>
    </w:pPr>
  </w:p>
  <w:p w:rsidR="00EE18EC" w:rsidRDefault="00EE18EC">
    <w:pPr>
      <w:pStyle w:val="Intestazione"/>
    </w:pPr>
  </w:p>
  <w:p w:rsidR="00EE18EC" w:rsidRDefault="00EE18EC">
    <w:pPr>
      <w:pStyle w:val="Intestazione"/>
    </w:pPr>
  </w:p>
  <w:p w:rsidR="004E561F" w:rsidRDefault="004E561F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002AD11" wp14:editId="21B62FCF">
          <wp:simplePos x="0" y="0"/>
          <wp:positionH relativeFrom="page">
            <wp:posOffset>152400</wp:posOffset>
          </wp:positionH>
          <wp:positionV relativeFrom="page">
            <wp:posOffset>152400</wp:posOffset>
          </wp:positionV>
          <wp:extent cx="2519680" cy="1625600"/>
          <wp:effectExtent l="0" t="0" r="0" b="0"/>
          <wp:wrapNone/>
          <wp:docPr id="2" name="Immagine 20" descr="Logo sapien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" descr="Logo sapien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9680" cy="162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E561F" w:rsidRDefault="004E561F" w:rsidP="0081584C">
    <w:pPr>
      <w:pStyle w:val="Intestazione"/>
      <w:jc w:val="right"/>
    </w:pPr>
    <w:r>
      <w:tab/>
    </w:r>
    <w:r>
      <w:tab/>
    </w:r>
    <w:r w:rsidR="00EE18EC" w:rsidRPr="005834E6">
      <w:rPr>
        <w:rFonts w:ascii="Times New Roman" w:hAnsi="Times New Roman"/>
        <w:sz w:val="28"/>
        <w:szCs w:val="28"/>
      </w:rPr>
      <w:object w:dxaOrig="4724" w:dyaOrig="10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76.6pt;height:41.45pt" o:ole="">
          <v:imagedata r:id="rId2" o:title=""/>
        </v:shape>
        <o:OLEObject Type="Embed" ProgID="MSPhotoEd.3" ShapeID="_x0000_i1026" DrawAspect="Content" ObjectID="_1498305878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0"/>
        </w:tabs>
        <w:ind w:left="375" w:hanging="375"/>
      </w:pPr>
      <w:rPr>
        <w:rFonts w:cs="Times New Roman"/>
      </w:rPr>
    </w:lvl>
    <w:lvl w:ilvl="1">
      <w:start w:val="1"/>
      <w:numFmt w:val="decimal"/>
      <w:lvlText w:val="%1.%2)"/>
      <w:lvlJc w:val="left"/>
      <w:pPr>
        <w:tabs>
          <w:tab w:val="num" w:pos="141"/>
        </w:tabs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4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5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7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44" w:hanging="1800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cs="Times New Roman"/>
      </w:rPr>
    </w:lvl>
  </w:abstractNum>
  <w:abstractNum w:abstractNumId="2">
    <w:nsid w:val="04ED1D56"/>
    <w:multiLevelType w:val="hybridMultilevel"/>
    <w:tmpl w:val="9982B232"/>
    <w:lvl w:ilvl="0" w:tplc="CCFA10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05F7089C"/>
    <w:multiLevelType w:val="hybridMultilevel"/>
    <w:tmpl w:val="02A26EF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12234E"/>
    <w:multiLevelType w:val="hybridMultilevel"/>
    <w:tmpl w:val="46164ECE"/>
    <w:lvl w:ilvl="0" w:tplc="B8B820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1">
      <w:start w:val="1"/>
      <w:numFmt w:val="bullet"/>
      <w:lvlText w:val=""/>
      <w:lvlJc w:val="left"/>
      <w:pPr>
        <w:ind w:left="1478" w:hanging="398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9681B8E"/>
    <w:multiLevelType w:val="hybridMultilevel"/>
    <w:tmpl w:val="9F7CC9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9C91BB1"/>
    <w:multiLevelType w:val="hybridMultilevel"/>
    <w:tmpl w:val="3C8641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BC06AC6"/>
    <w:multiLevelType w:val="hybridMultilevel"/>
    <w:tmpl w:val="E996A7B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BD22124"/>
    <w:multiLevelType w:val="hybridMultilevel"/>
    <w:tmpl w:val="57907FB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FA31B82"/>
    <w:multiLevelType w:val="hybridMultilevel"/>
    <w:tmpl w:val="3F309BE8"/>
    <w:lvl w:ilvl="0" w:tplc="D17AF6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72C78"/>
    <w:multiLevelType w:val="hybridMultilevel"/>
    <w:tmpl w:val="74BA6AD4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1B512F18"/>
    <w:multiLevelType w:val="hybridMultilevel"/>
    <w:tmpl w:val="F30E1F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952B8D"/>
    <w:multiLevelType w:val="hybridMultilevel"/>
    <w:tmpl w:val="849CFF0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4405ABA"/>
    <w:multiLevelType w:val="multilevel"/>
    <w:tmpl w:val="0410001F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>
    <w:nsid w:val="29C34C10"/>
    <w:multiLevelType w:val="hybridMultilevel"/>
    <w:tmpl w:val="89669B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926656"/>
    <w:multiLevelType w:val="hybridMultilevel"/>
    <w:tmpl w:val="0308C7A8"/>
    <w:lvl w:ilvl="0" w:tplc="D2C8BD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B587EF7"/>
    <w:multiLevelType w:val="hybridMultilevel"/>
    <w:tmpl w:val="87C8AC04"/>
    <w:lvl w:ilvl="0" w:tplc="2F94B6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BCD14BD"/>
    <w:multiLevelType w:val="hybridMultilevel"/>
    <w:tmpl w:val="44F49194"/>
    <w:lvl w:ilvl="0" w:tplc="B8B820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EACA8CC">
      <w:start w:val="1"/>
      <w:numFmt w:val="decimal"/>
      <w:lvlText w:val="(%2)"/>
      <w:lvlJc w:val="left"/>
      <w:pPr>
        <w:ind w:left="1478" w:hanging="398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DA42563"/>
    <w:multiLevelType w:val="hybridMultilevel"/>
    <w:tmpl w:val="0FB04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4B4A99"/>
    <w:multiLevelType w:val="hybridMultilevel"/>
    <w:tmpl w:val="0906A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51790F"/>
    <w:multiLevelType w:val="hybridMultilevel"/>
    <w:tmpl w:val="2A08D2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C75C1B"/>
    <w:multiLevelType w:val="hybridMultilevel"/>
    <w:tmpl w:val="44F49194"/>
    <w:lvl w:ilvl="0" w:tplc="B8B820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EACA8CC">
      <w:start w:val="1"/>
      <w:numFmt w:val="decimal"/>
      <w:lvlText w:val="(%2)"/>
      <w:lvlJc w:val="left"/>
      <w:pPr>
        <w:ind w:left="1478" w:hanging="398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C861D76"/>
    <w:multiLevelType w:val="hybridMultilevel"/>
    <w:tmpl w:val="C742E210"/>
    <w:lvl w:ilvl="0" w:tplc="2494A238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360A8B"/>
    <w:multiLevelType w:val="hybridMultilevel"/>
    <w:tmpl w:val="34BA1AE0"/>
    <w:lvl w:ilvl="0" w:tplc="109EDF20">
      <w:start w:val="1"/>
      <w:numFmt w:val="decimal"/>
      <w:lvlText w:val="%1."/>
      <w:lvlJc w:val="righ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C830D9"/>
    <w:multiLevelType w:val="hybridMultilevel"/>
    <w:tmpl w:val="7174C8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4B431C"/>
    <w:multiLevelType w:val="hybridMultilevel"/>
    <w:tmpl w:val="84AE6D6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4A6E25CF"/>
    <w:multiLevelType w:val="multilevel"/>
    <w:tmpl w:val="0410001F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>
    <w:nsid w:val="4AF5662D"/>
    <w:multiLevelType w:val="hybridMultilevel"/>
    <w:tmpl w:val="4CE0BC2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B1360FF"/>
    <w:multiLevelType w:val="hybridMultilevel"/>
    <w:tmpl w:val="D5C6CCFA"/>
    <w:lvl w:ilvl="0" w:tplc="98A8D6B8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E85022F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>
    <w:nsid w:val="5433640F"/>
    <w:multiLevelType w:val="hybridMultilevel"/>
    <w:tmpl w:val="C298E04E"/>
    <w:lvl w:ilvl="0" w:tplc="28604DF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C31899"/>
    <w:multiLevelType w:val="hybridMultilevel"/>
    <w:tmpl w:val="A04611B2"/>
    <w:lvl w:ilvl="0" w:tplc="184EEE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86022A5"/>
    <w:multiLevelType w:val="hybridMultilevel"/>
    <w:tmpl w:val="BB5AE0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78" w:hanging="398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8D12234"/>
    <w:multiLevelType w:val="hybridMultilevel"/>
    <w:tmpl w:val="2004B76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B0529E5"/>
    <w:multiLevelType w:val="hybridMultilevel"/>
    <w:tmpl w:val="0222326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E227FED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6">
    <w:nsid w:val="618754EC"/>
    <w:multiLevelType w:val="hybridMultilevel"/>
    <w:tmpl w:val="C936A4BA"/>
    <w:lvl w:ilvl="0" w:tplc="6FB83DA8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18D2BE6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>
    <w:nsid w:val="61F94CA7"/>
    <w:multiLevelType w:val="multilevel"/>
    <w:tmpl w:val="0410001F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9">
    <w:nsid w:val="623A1F81"/>
    <w:multiLevelType w:val="hybridMultilevel"/>
    <w:tmpl w:val="B9EE9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89142A8"/>
    <w:multiLevelType w:val="hybridMultilevel"/>
    <w:tmpl w:val="A3128006"/>
    <w:lvl w:ilvl="0" w:tplc="04100017">
      <w:start w:val="1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1">
    <w:nsid w:val="69FF1D78"/>
    <w:multiLevelType w:val="hybridMultilevel"/>
    <w:tmpl w:val="481248A6"/>
    <w:lvl w:ilvl="0" w:tplc="641AC1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6EDA7D5D"/>
    <w:multiLevelType w:val="hybridMultilevel"/>
    <w:tmpl w:val="6F4672B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733A4553"/>
    <w:multiLevelType w:val="hybridMultilevel"/>
    <w:tmpl w:val="A9FCCD40"/>
    <w:lvl w:ilvl="0" w:tplc="CEC85B4C">
      <w:start w:val="1"/>
      <w:numFmt w:val="decimal"/>
      <w:lvlText w:val="%1."/>
      <w:lvlJc w:val="right"/>
      <w:pPr>
        <w:ind w:left="720" w:hanging="360"/>
      </w:pPr>
      <w:rPr>
        <w:rFonts w:ascii="Times New Roman" w:eastAsia="Calibr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A85583"/>
    <w:multiLevelType w:val="hybridMultilevel"/>
    <w:tmpl w:val="8FAC6420"/>
    <w:lvl w:ilvl="0" w:tplc="B8B820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D">
      <w:start w:val="1"/>
      <w:numFmt w:val="bullet"/>
      <w:lvlText w:val=""/>
      <w:lvlJc w:val="left"/>
      <w:pPr>
        <w:ind w:left="1478" w:hanging="398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96E32C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6">
    <w:nsid w:val="7B2B686A"/>
    <w:multiLevelType w:val="hybridMultilevel"/>
    <w:tmpl w:val="1228CA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7B891C1C"/>
    <w:multiLevelType w:val="hybridMultilevel"/>
    <w:tmpl w:val="2D881B16"/>
    <w:lvl w:ilvl="0" w:tplc="98A8D6B8">
      <w:start w:val="1"/>
      <w:numFmt w:val="lowerRoman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7C3D02D6"/>
    <w:multiLevelType w:val="hybridMultilevel"/>
    <w:tmpl w:val="BDE69640"/>
    <w:lvl w:ilvl="0" w:tplc="7CA8B45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29"/>
  </w:num>
  <w:num w:numId="4">
    <w:abstractNumId w:val="35"/>
  </w:num>
  <w:num w:numId="5">
    <w:abstractNumId w:val="45"/>
  </w:num>
  <w:num w:numId="6">
    <w:abstractNumId w:val="18"/>
  </w:num>
  <w:num w:numId="7">
    <w:abstractNumId w:val="37"/>
  </w:num>
  <w:num w:numId="8">
    <w:abstractNumId w:val="25"/>
  </w:num>
  <w:num w:numId="9">
    <w:abstractNumId w:val="2"/>
  </w:num>
  <w:num w:numId="10">
    <w:abstractNumId w:val="36"/>
  </w:num>
  <w:num w:numId="11">
    <w:abstractNumId w:val="24"/>
  </w:num>
  <w:num w:numId="12">
    <w:abstractNumId w:val="13"/>
  </w:num>
  <w:num w:numId="13">
    <w:abstractNumId w:val="38"/>
  </w:num>
  <w:num w:numId="14">
    <w:abstractNumId w:val="26"/>
  </w:num>
  <w:num w:numId="15">
    <w:abstractNumId w:val="11"/>
  </w:num>
  <w:num w:numId="16">
    <w:abstractNumId w:val="0"/>
  </w:num>
  <w:num w:numId="17">
    <w:abstractNumId w:val="1"/>
  </w:num>
  <w:num w:numId="18">
    <w:abstractNumId w:val="3"/>
  </w:num>
  <w:num w:numId="19">
    <w:abstractNumId w:val="33"/>
  </w:num>
  <w:num w:numId="20">
    <w:abstractNumId w:val="40"/>
  </w:num>
  <w:num w:numId="21">
    <w:abstractNumId w:val="28"/>
  </w:num>
  <w:num w:numId="22">
    <w:abstractNumId w:val="39"/>
  </w:num>
  <w:num w:numId="23">
    <w:abstractNumId w:val="30"/>
  </w:num>
  <w:num w:numId="24">
    <w:abstractNumId w:val="21"/>
  </w:num>
  <w:num w:numId="25">
    <w:abstractNumId w:val="7"/>
  </w:num>
  <w:num w:numId="26">
    <w:abstractNumId w:val="12"/>
  </w:num>
  <w:num w:numId="27">
    <w:abstractNumId w:val="34"/>
  </w:num>
  <w:num w:numId="28">
    <w:abstractNumId w:val="42"/>
  </w:num>
  <w:num w:numId="29">
    <w:abstractNumId w:val="15"/>
  </w:num>
  <w:num w:numId="30">
    <w:abstractNumId w:val="31"/>
  </w:num>
  <w:num w:numId="31">
    <w:abstractNumId w:val="5"/>
  </w:num>
  <w:num w:numId="32">
    <w:abstractNumId w:val="16"/>
  </w:num>
  <w:num w:numId="33">
    <w:abstractNumId w:val="14"/>
  </w:num>
  <w:num w:numId="34">
    <w:abstractNumId w:val="6"/>
  </w:num>
  <w:num w:numId="35">
    <w:abstractNumId w:val="27"/>
  </w:num>
  <w:num w:numId="36">
    <w:abstractNumId w:val="4"/>
  </w:num>
  <w:num w:numId="37">
    <w:abstractNumId w:val="44"/>
  </w:num>
  <w:num w:numId="38">
    <w:abstractNumId w:val="32"/>
  </w:num>
  <w:num w:numId="39">
    <w:abstractNumId w:val="47"/>
  </w:num>
  <w:num w:numId="40">
    <w:abstractNumId w:val="48"/>
  </w:num>
  <w:num w:numId="41">
    <w:abstractNumId w:val="41"/>
  </w:num>
  <w:num w:numId="42">
    <w:abstractNumId w:val="46"/>
  </w:num>
  <w:num w:numId="43">
    <w:abstractNumId w:val="22"/>
  </w:num>
  <w:num w:numId="44">
    <w:abstractNumId w:val="20"/>
  </w:num>
  <w:num w:numId="45">
    <w:abstractNumId w:val="43"/>
  </w:num>
  <w:num w:numId="46">
    <w:abstractNumId w:val="9"/>
  </w:num>
  <w:num w:numId="47">
    <w:abstractNumId w:val="19"/>
  </w:num>
  <w:num w:numId="48">
    <w:abstractNumId w:val="23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FD8"/>
    <w:rsid w:val="000015E4"/>
    <w:rsid w:val="00004122"/>
    <w:rsid w:val="0001194B"/>
    <w:rsid w:val="000205E9"/>
    <w:rsid w:val="00025957"/>
    <w:rsid w:val="00035FB0"/>
    <w:rsid w:val="0004571E"/>
    <w:rsid w:val="0004721B"/>
    <w:rsid w:val="00047BD5"/>
    <w:rsid w:val="00057007"/>
    <w:rsid w:val="00062D3D"/>
    <w:rsid w:val="00066F3E"/>
    <w:rsid w:val="00071B49"/>
    <w:rsid w:val="0007784C"/>
    <w:rsid w:val="000779FC"/>
    <w:rsid w:val="000837BB"/>
    <w:rsid w:val="00091831"/>
    <w:rsid w:val="00094AC1"/>
    <w:rsid w:val="000A4C79"/>
    <w:rsid w:val="000A6387"/>
    <w:rsid w:val="000B5FD8"/>
    <w:rsid w:val="000C5A21"/>
    <w:rsid w:val="000C789E"/>
    <w:rsid w:val="000C7E20"/>
    <w:rsid w:val="000D0900"/>
    <w:rsid w:val="000D4761"/>
    <w:rsid w:val="000D5806"/>
    <w:rsid w:val="000F7393"/>
    <w:rsid w:val="0010453D"/>
    <w:rsid w:val="0010524C"/>
    <w:rsid w:val="00126EB1"/>
    <w:rsid w:val="00131541"/>
    <w:rsid w:val="0013556C"/>
    <w:rsid w:val="00147861"/>
    <w:rsid w:val="001627A6"/>
    <w:rsid w:val="001642FE"/>
    <w:rsid w:val="001664ED"/>
    <w:rsid w:val="001671BA"/>
    <w:rsid w:val="0016740C"/>
    <w:rsid w:val="001751C6"/>
    <w:rsid w:val="00184026"/>
    <w:rsid w:val="0018696D"/>
    <w:rsid w:val="001908D2"/>
    <w:rsid w:val="001A003F"/>
    <w:rsid w:val="001A7546"/>
    <w:rsid w:val="001B11AE"/>
    <w:rsid w:val="001D00F6"/>
    <w:rsid w:val="001D0BF4"/>
    <w:rsid w:val="001D1DC2"/>
    <w:rsid w:val="001D7BB1"/>
    <w:rsid w:val="001E05C9"/>
    <w:rsid w:val="001E22A7"/>
    <w:rsid w:val="001E7B6F"/>
    <w:rsid w:val="001F260E"/>
    <w:rsid w:val="00204DB9"/>
    <w:rsid w:val="002114BC"/>
    <w:rsid w:val="00220A21"/>
    <w:rsid w:val="00225FFC"/>
    <w:rsid w:val="00250BD9"/>
    <w:rsid w:val="002535CE"/>
    <w:rsid w:val="00253899"/>
    <w:rsid w:val="00261DBF"/>
    <w:rsid w:val="00262C67"/>
    <w:rsid w:val="00264872"/>
    <w:rsid w:val="00272FF1"/>
    <w:rsid w:val="0027473C"/>
    <w:rsid w:val="00284C1F"/>
    <w:rsid w:val="00295E04"/>
    <w:rsid w:val="002A4449"/>
    <w:rsid w:val="002A50D3"/>
    <w:rsid w:val="002A5787"/>
    <w:rsid w:val="002A64AC"/>
    <w:rsid w:val="002B1620"/>
    <w:rsid w:val="002B1E38"/>
    <w:rsid w:val="002C776C"/>
    <w:rsid w:val="002D3F93"/>
    <w:rsid w:val="002D6AF5"/>
    <w:rsid w:val="002E50C1"/>
    <w:rsid w:val="002F06C6"/>
    <w:rsid w:val="002F5038"/>
    <w:rsid w:val="002F672C"/>
    <w:rsid w:val="002F7152"/>
    <w:rsid w:val="003036A7"/>
    <w:rsid w:val="0030517C"/>
    <w:rsid w:val="00305363"/>
    <w:rsid w:val="003069FA"/>
    <w:rsid w:val="00310AF5"/>
    <w:rsid w:val="00312D6F"/>
    <w:rsid w:val="00315EB6"/>
    <w:rsid w:val="00321A58"/>
    <w:rsid w:val="00321CD6"/>
    <w:rsid w:val="00324A0E"/>
    <w:rsid w:val="00332107"/>
    <w:rsid w:val="003358F1"/>
    <w:rsid w:val="003418F3"/>
    <w:rsid w:val="00343E58"/>
    <w:rsid w:val="003522FC"/>
    <w:rsid w:val="00356D4E"/>
    <w:rsid w:val="00362AB1"/>
    <w:rsid w:val="003720D6"/>
    <w:rsid w:val="003750C2"/>
    <w:rsid w:val="00377F1C"/>
    <w:rsid w:val="00380C67"/>
    <w:rsid w:val="003929C6"/>
    <w:rsid w:val="003A69A3"/>
    <w:rsid w:val="003A6D1A"/>
    <w:rsid w:val="003D068B"/>
    <w:rsid w:val="003D1EB5"/>
    <w:rsid w:val="003D1F5D"/>
    <w:rsid w:val="003F5907"/>
    <w:rsid w:val="004056E9"/>
    <w:rsid w:val="00405C49"/>
    <w:rsid w:val="00415256"/>
    <w:rsid w:val="0042016C"/>
    <w:rsid w:val="00422080"/>
    <w:rsid w:val="00422EB0"/>
    <w:rsid w:val="00423AFD"/>
    <w:rsid w:val="00433363"/>
    <w:rsid w:val="004336E1"/>
    <w:rsid w:val="004528AD"/>
    <w:rsid w:val="00455CAB"/>
    <w:rsid w:val="00460241"/>
    <w:rsid w:val="0047265C"/>
    <w:rsid w:val="00473F8A"/>
    <w:rsid w:val="0048045B"/>
    <w:rsid w:val="004824CB"/>
    <w:rsid w:val="004A1B91"/>
    <w:rsid w:val="004A32EF"/>
    <w:rsid w:val="004A7E91"/>
    <w:rsid w:val="004B18FE"/>
    <w:rsid w:val="004B5258"/>
    <w:rsid w:val="004C2A40"/>
    <w:rsid w:val="004E561F"/>
    <w:rsid w:val="004F5CAD"/>
    <w:rsid w:val="004F5DC6"/>
    <w:rsid w:val="005033FA"/>
    <w:rsid w:val="00504DA5"/>
    <w:rsid w:val="0051217A"/>
    <w:rsid w:val="00526169"/>
    <w:rsid w:val="005309ED"/>
    <w:rsid w:val="00541D45"/>
    <w:rsid w:val="005421F2"/>
    <w:rsid w:val="00543C6D"/>
    <w:rsid w:val="00544E5F"/>
    <w:rsid w:val="00571191"/>
    <w:rsid w:val="00580856"/>
    <w:rsid w:val="00580EBB"/>
    <w:rsid w:val="005824E7"/>
    <w:rsid w:val="00592FD5"/>
    <w:rsid w:val="005A41F6"/>
    <w:rsid w:val="005B5424"/>
    <w:rsid w:val="005C42B5"/>
    <w:rsid w:val="005C4E3E"/>
    <w:rsid w:val="005C7819"/>
    <w:rsid w:val="005E12EB"/>
    <w:rsid w:val="005E69D8"/>
    <w:rsid w:val="005F0CDC"/>
    <w:rsid w:val="005F43CE"/>
    <w:rsid w:val="00600D80"/>
    <w:rsid w:val="00603741"/>
    <w:rsid w:val="0060794C"/>
    <w:rsid w:val="00621102"/>
    <w:rsid w:val="00627C2E"/>
    <w:rsid w:val="00631A44"/>
    <w:rsid w:val="00635250"/>
    <w:rsid w:val="00644BF2"/>
    <w:rsid w:val="0065640F"/>
    <w:rsid w:val="0067311B"/>
    <w:rsid w:val="006767DA"/>
    <w:rsid w:val="006850C9"/>
    <w:rsid w:val="006855E7"/>
    <w:rsid w:val="006A00B8"/>
    <w:rsid w:val="006A0160"/>
    <w:rsid w:val="006A0D63"/>
    <w:rsid w:val="006A22EE"/>
    <w:rsid w:val="006A6664"/>
    <w:rsid w:val="006B4DE9"/>
    <w:rsid w:val="006B5323"/>
    <w:rsid w:val="006C0389"/>
    <w:rsid w:val="006C7075"/>
    <w:rsid w:val="006D60A7"/>
    <w:rsid w:val="006E11D1"/>
    <w:rsid w:val="006E29C6"/>
    <w:rsid w:val="006F1341"/>
    <w:rsid w:val="006F7285"/>
    <w:rsid w:val="00701C28"/>
    <w:rsid w:val="00710078"/>
    <w:rsid w:val="00714ABD"/>
    <w:rsid w:val="00725660"/>
    <w:rsid w:val="00736C96"/>
    <w:rsid w:val="00746E57"/>
    <w:rsid w:val="007502E0"/>
    <w:rsid w:val="00751CAF"/>
    <w:rsid w:val="007629FA"/>
    <w:rsid w:val="00771D00"/>
    <w:rsid w:val="0077473E"/>
    <w:rsid w:val="0078206A"/>
    <w:rsid w:val="007A07B9"/>
    <w:rsid w:val="007A0E87"/>
    <w:rsid w:val="007A2120"/>
    <w:rsid w:val="007A6FDD"/>
    <w:rsid w:val="007A734C"/>
    <w:rsid w:val="007B3046"/>
    <w:rsid w:val="007C5691"/>
    <w:rsid w:val="007D14A4"/>
    <w:rsid w:val="007E055D"/>
    <w:rsid w:val="007E189A"/>
    <w:rsid w:val="007E46D9"/>
    <w:rsid w:val="007F24CF"/>
    <w:rsid w:val="007F77D6"/>
    <w:rsid w:val="00807DA7"/>
    <w:rsid w:val="00811ABC"/>
    <w:rsid w:val="00812EFE"/>
    <w:rsid w:val="0081584C"/>
    <w:rsid w:val="00820DF7"/>
    <w:rsid w:val="0082731C"/>
    <w:rsid w:val="0083281E"/>
    <w:rsid w:val="00833251"/>
    <w:rsid w:val="00846B4B"/>
    <w:rsid w:val="00846B79"/>
    <w:rsid w:val="00851795"/>
    <w:rsid w:val="00854D99"/>
    <w:rsid w:val="008633CD"/>
    <w:rsid w:val="00866371"/>
    <w:rsid w:val="00870F7B"/>
    <w:rsid w:val="008727F9"/>
    <w:rsid w:val="00881C6B"/>
    <w:rsid w:val="0089249D"/>
    <w:rsid w:val="00896B06"/>
    <w:rsid w:val="008A28A4"/>
    <w:rsid w:val="008A5347"/>
    <w:rsid w:val="008A5853"/>
    <w:rsid w:val="008B1081"/>
    <w:rsid w:val="008B1164"/>
    <w:rsid w:val="008B1792"/>
    <w:rsid w:val="008B56C7"/>
    <w:rsid w:val="008C208F"/>
    <w:rsid w:val="008C31D6"/>
    <w:rsid w:val="008C4ADD"/>
    <w:rsid w:val="008C6BCF"/>
    <w:rsid w:val="008D1584"/>
    <w:rsid w:val="008D2519"/>
    <w:rsid w:val="008D3229"/>
    <w:rsid w:val="008D4A65"/>
    <w:rsid w:val="008D4F45"/>
    <w:rsid w:val="008E00AE"/>
    <w:rsid w:val="008E2985"/>
    <w:rsid w:val="008E4FD6"/>
    <w:rsid w:val="008E6A12"/>
    <w:rsid w:val="008F6017"/>
    <w:rsid w:val="00907681"/>
    <w:rsid w:val="0092099A"/>
    <w:rsid w:val="00933AEA"/>
    <w:rsid w:val="009374C2"/>
    <w:rsid w:val="009547B9"/>
    <w:rsid w:val="00957CAC"/>
    <w:rsid w:val="00963D35"/>
    <w:rsid w:val="00976D96"/>
    <w:rsid w:val="00982A95"/>
    <w:rsid w:val="00984B11"/>
    <w:rsid w:val="00995BFB"/>
    <w:rsid w:val="00995EA1"/>
    <w:rsid w:val="009B1CF7"/>
    <w:rsid w:val="009B56B1"/>
    <w:rsid w:val="009B78B1"/>
    <w:rsid w:val="009C0371"/>
    <w:rsid w:val="009C13A3"/>
    <w:rsid w:val="009C24BB"/>
    <w:rsid w:val="009C36FB"/>
    <w:rsid w:val="009D1188"/>
    <w:rsid w:val="009D2BD6"/>
    <w:rsid w:val="009E1060"/>
    <w:rsid w:val="009E459B"/>
    <w:rsid w:val="009E4D0B"/>
    <w:rsid w:val="009E5263"/>
    <w:rsid w:val="009F3F50"/>
    <w:rsid w:val="00A02809"/>
    <w:rsid w:val="00A02838"/>
    <w:rsid w:val="00A036E1"/>
    <w:rsid w:val="00A131CD"/>
    <w:rsid w:val="00A13F94"/>
    <w:rsid w:val="00A3688F"/>
    <w:rsid w:val="00A41EA2"/>
    <w:rsid w:val="00A4763E"/>
    <w:rsid w:val="00A5061A"/>
    <w:rsid w:val="00A539FA"/>
    <w:rsid w:val="00A53B17"/>
    <w:rsid w:val="00A5443B"/>
    <w:rsid w:val="00A60CEB"/>
    <w:rsid w:val="00A70664"/>
    <w:rsid w:val="00A71A68"/>
    <w:rsid w:val="00A84699"/>
    <w:rsid w:val="00A867C7"/>
    <w:rsid w:val="00A87C20"/>
    <w:rsid w:val="00A93305"/>
    <w:rsid w:val="00AA0CF8"/>
    <w:rsid w:val="00AA35CB"/>
    <w:rsid w:val="00AB3DEC"/>
    <w:rsid w:val="00AC18CF"/>
    <w:rsid w:val="00AD079E"/>
    <w:rsid w:val="00AD50C5"/>
    <w:rsid w:val="00AE642E"/>
    <w:rsid w:val="00B02F09"/>
    <w:rsid w:val="00B227DC"/>
    <w:rsid w:val="00B23C33"/>
    <w:rsid w:val="00B25F3B"/>
    <w:rsid w:val="00B26CCD"/>
    <w:rsid w:val="00B32A31"/>
    <w:rsid w:val="00B3614C"/>
    <w:rsid w:val="00B36F8C"/>
    <w:rsid w:val="00B375CF"/>
    <w:rsid w:val="00B40394"/>
    <w:rsid w:val="00B4109B"/>
    <w:rsid w:val="00B55B09"/>
    <w:rsid w:val="00B61A70"/>
    <w:rsid w:val="00B663A2"/>
    <w:rsid w:val="00B747A7"/>
    <w:rsid w:val="00B77D0F"/>
    <w:rsid w:val="00B83497"/>
    <w:rsid w:val="00B90A48"/>
    <w:rsid w:val="00B9106A"/>
    <w:rsid w:val="00B957C5"/>
    <w:rsid w:val="00B95BC8"/>
    <w:rsid w:val="00B95F94"/>
    <w:rsid w:val="00BB3A65"/>
    <w:rsid w:val="00BC4770"/>
    <w:rsid w:val="00BC5F31"/>
    <w:rsid w:val="00BD7699"/>
    <w:rsid w:val="00BE2783"/>
    <w:rsid w:val="00BE3662"/>
    <w:rsid w:val="00BE7E38"/>
    <w:rsid w:val="00BF32B8"/>
    <w:rsid w:val="00C1041C"/>
    <w:rsid w:val="00C12355"/>
    <w:rsid w:val="00C20FC0"/>
    <w:rsid w:val="00C26F22"/>
    <w:rsid w:val="00C27829"/>
    <w:rsid w:val="00C436B2"/>
    <w:rsid w:val="00C46B08"/>
    <w:rsid w:val="00C47B96"/>
    <w:rsid w:val="00C53DC0"/>
    <w:rsid w:val="00C56AB8"/>
    <w:rsid w:val="00C57039"/>
    <w:rsid w:val="00C62146"/>
    <w:rsid w:val="00C65DA5"/>
    <w:rsid w:val="00C717E0"/>
    <w:rsid w:val="00C8738E"/>
    <w:rsid w:val="00C91970"/>
    <w:rsid w:val="00C92208"/>
    <w:rsid w:val="00CA05C9"/>
    <w:rsid w:val="00CA2D30"/>
    <w:rsid w:val="00CB238F"/>
    <w:rsid w:val="00CB2AFC"/>
    <w:rsid w:val="00CB4606"/>
    <w:rsid w:val="00CB78DA"/>
    <w:rsid w:val="00CD49AB"/>
    <w:rsid w:val="00CD4F0A"/>
    <w:rsid w:val="00CE5BA3"/>
    <w:rsid w:val="00CE75AD"/>
    <w:rsid w:val="00CF0A0C"/>
    <w:rsid w:val="00CF113A"/>
    <w:rsid w:val="00CF22D3"/>
    <w:rsid w:val="00CF653F"/>
    <w:rsid w:val="00D06686"/>
    <w:rsid w:val="00D07DD1"/>
    <w:rsid w:val="00D221DE"/>
    <w:rsid w:val="00D22859"/>
    <w:rsid w:val="00D333C6"/>
    <w:rsid w:val="00D43E2F"/>
    <w:rsid w:val="00D4586A"/>
    <w:rsid w:val="00D603B7"/>
    <w:rsid w:val="00D7252D"/>
    <w:rsid w:val="00D77D69"/>
    <w:rsid w:val="00D80515"/>
    <w:rsid w:val="00D85098"/>
    <w:rsid w:val="00D92F55"/>
    <w:rsid w:val="00D95DEB"/>
    <w:rsid w:val="00DA57D6"/>
    <w:rsid w:val="00DB32D5"/>
    <w:rsid w:val="00DC0B89"/>
    <w:rsid w:val="00DC1DA3"/>
    <w:rsid w:val="00DC5ED7"/>
    <w:rsid w:val="00DD1A80"/>
    <w:rsid w:val="00DD2C9B"/>
    <w:rsid w:val="00DD62BE"/>
    <w:rsid w:val="00DE05AF"/>
    <w:rsid w:val="00DE26AC"/>
    <w:rsid w:val="00DF4D88"/>
    <w:rsid w:val="00DF6E99"/>
    <w:rsid w:val="00E04BD1"/>
    <w:rsid w:val="00E126A3"/>
    <w:rsid w:val="00E21870"/>
    <w:rsid w:val="00E246CA"/>
    <w:rsid w:val="00E3776B"/>
    <w:rsid w:val="00E378ED"/>
    <w:rsid w:val="00E42FFB"/>
    <w:rsid w:val="00E47DF8"/>
    <w:rsid w:val="00E752E1"/>
    <w:rsid w:val="00E753D3"/>
    <w:rsid w:val="00E91277"/>
    <w:rsid w:val="00E9157D"/>
    <w:rsid w:val="00E93F79"/>
    <w:rsid w:val="00EA2336"/>
    <w:rsid w:val="00EA497E"/>
    <w:rsid w:val="00EA6613"/>
    <w:rsid w:val="00EB3C09"/>
    <w:rsid w:val="00EB6CD2"/>
    <w:rsid w:val="00EB7CFB"/>
    <w:rsid w:val="00EC14E3"/>
    <w:rsid w:val="00EC5168"/>
    <w:rsid w:val="00ED0283"/>
    <w:rsid w:val="00ED377A"/>
    <w:rsid w:val="00EE18EC"/>
    <w:rsid w:val="00EE3955"/>
    <w:rsid w:val="00EE3970"/>
    <w:rsid w:val="00EE41A6"/>
    <w:rsid w:val="00EE6376"/>
    <w:rsid w:val="00EF3A6F"/>
    <w:rsid w:val="00F02DB6"/>
    <w:rsid w:val="00F113EF"/>
    <w:rsid w:val="00F12733"/>
    <w:rsid w:val="00F211A0"/>
    <w:rsid w:val="00F21503"/>
    <w:rsid w:val="00F319C1"/>
    <w:rsid w:val="00F31C5E"/>
    <w:rsid w:val="00F33BB4"/>
    <w:rsid w:val="00F3572F"/>
    <w:rsid w:val="00F3694A"/>
    <w:rsid w:val="00F40A69"/>
    <w:rsid w:val="00F40EAE"/>
    <w:rsid w:val="00F53C5C"/>
    <w:rsid w:val="00F709B9"/>
    <w:rsid w:val="00F722E3"/>
    <w:rsid w:val="00F82F28"/>
    <w:rsid w:val="00F85457"/>
    <w:rsid w:val="00F92A88"/>
    <w:rsid w:val="00FA21FA"/>
    <w:rsid w:val="00FA66FF"/>
    <w:rsid w:val="00FA7D90"/>
    <w:rsid w:val="00FB010E"/>
    <w:rsid w:val="00FB54D6"/>
    <w:rsid w:val="00FC307F"/>
    <w:rsid w:val="00FC3AEA"/>
    <w:rsid w:val="00FC571A"/>
    <w:rsid w:val="00FD0840"/>
    <w:rsid w:val="00FD2E34"/>
    <w:rsid w:val="00FD7C56"/>
    <w:rsid w:val="00FF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nhideWhenUsed="0"/>
    <w:lsdException w:name="header" w:locked="1" w:semiHidden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5F3B"/>
    <w:pPr>
      <w:spacing w:after="200" w:line="276" w:lineRule="auto"/>
    </w:pPr>
    <w:rPr>
      <w:lang w:eastAsia="en-US"/>
    </w:rPr>
  </w:style>
  <w:style w:type="paragraph" w:styleId="Titolo1">
    <w:name w:val="heading 1"/>
    <w:aliases w:val="Section"/>
    <w:basedOn w:val="Normale"/>
    <w:next w:val="Corpotesto"/>
    <w:link w:val="Titolo1Carattere"/>
    <w:uiPriority w:val="99"/>
    <w:qFormat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  <w:outlineLvl w:val="0"/>
    </w:pPr>
    <w:rPr>
      <w:rFonts w:ascii="Tahoma" w:hAnsi="Tahoma"/>
      <w:b/>
      <w:spacing w:val="10"/>
      <w:sz w:val="24"/>
      <w:szCs w:val="20"/>
      <w:lang w:eastAsia="it-IT"/>
    </w:rPr>
  </w:style>
  <w:style w:type="paragraph" w:styleId="Titolo2">
    <w:name w:val="heading 2"/>
    <w:aliases w:val="Subsection"/>
    <w:basedOn w:val="Normale"/>
    <w:next w:val="Normale"/>
    <w:link w:val="Titolo2Carattere"/>
    <w:uiPriority w:val="99"/>
    <w:qFormat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olo3">
    <w:name w:val="heading 3"/>
    <w:aliases w:val="Subsubsection"/>
    <w:basedOn w:val="Normale"/>
    <w:next w:val="Normale"/>
    <w:link w:val="Titolo3Carattere"/>
    <w:uiPriority w:val="99"/>
    <w:qFormat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aliases w:val="Paragraph"/>
    <w:basedOn w:val="Normale"/>
    <w:next w:val="Normale"/>
    <w:link w:val="Titolo4Carattere"/>
    <w:uiPriority w:val="99"/>
    <w:qFormat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  <w:outlineLvl w:val="3"/>
    </w:pPr>
    <w:rPr>
      <w:rFonts w:eastAsia="Times New Roman"/>
      <w:b/>
      <w:bCs/>
      <w:sz w:val="28"/>
      <w:szCs w:val="28"/>
    </w:rPr>
  </w:style>
  <w:style w:type="paragraph" w:styleId="Titolo5">
    <w:name w:val="heading 5"/>
    <w:aliases w:val="Subparagraph"/>
    <w:basedOn w:val="Normale"/>
    <w:next w:val="Normale"/>
    <w:link w:val="Titolo5Carattere"/>
    <w:uiPriority w:val="99"/>
    <w:qFormat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aliases w:val="Section Char"/>
    <w:basedOn w:val="Carpredefinitoparagrafo"/>
    <w:uiPriority w:val="99"/>
    <w:locked/>
    <w:rsid w:val="009547B9"/>
    <w:rPr>
      <w:rFonts w:ascii="Cambria" w:hAnsi="Cambria" w:cs="Times New Roman"/>
      <w:b/>
      <w:kern w:val="32"/>
      <w:sz w:val="32"/>
      <w:lang w:eastAsia="en-US"/>
    </w:rPr>
  </w:style>
  <w:style w:type="character" w:customStyle="1" w:styleId="Titolo2Carattere">
    <w:name w:val="Titolo 2 Carattere"/>
    <w:aliases w:val="Subsection Carattere"/>
    <w:basedOn w:val="Carpredefinitoparagrafo"/>
    <w:link w:val="Titolo2"/>
    <w:uiPriority w:val="99"/>
    <w:semiHidden/>
    <w:locked/>
    <w:rsid w:val="009547B9"/>
    <w:rPr>
      <w:rFonts w:ascii="Cambria" w:hAnsi="Cambria" w:cs="Times New Roman"/>
      <w:b/>
      <w:i/>
      <w:sz w:val="28"/>
      <w:lang w:eastAsia="en-US"/>
    </w:rPr>
  </w:style>
  <w:style w:type="character" w:customStyle="1" w:styleId="Titolo3Carattere">
    <w:name w:val="Titolo 3 Carattere"/>
    <w:aliases w:val="Subsubsection Carattere"/>
    <w:basedOn w:val="Carpredefinitoparagrafo"/>
    <w:link w:val="Titolo3"/>
    <w:uiPriority w:val="99"/>
    <w:semiHidden/>
    <w:locked/>
    <w:rsid w:val="009547B9"/>
    <w:rPr>
      <w:rFonts w:ascii="Cambria" w:hAnsi="Cambria" w:cs="Times New Roman"/>
      <w:b/>
      <w:sz w:val="26"/>
      <w:lang w:eastAsia="en-US"/>
    </w:rPr>
  </w:style>
  <w:style w:type="character" w:customStyle="1" w:styleId="Titolo4Carattere">
    <w:name w:val="Titolo 4 Carattere"/>
    <w:aliases w:val="Paragraph Carattere"/>
    <w:basedOn w:val="Carpredefinitoparagrafo"/>
    <w:link w:val="Titolo4"/>
    <w:uiPriority w:val="99"/>
    <w:semiHidden/>
    <w:locked/>
    <w:rsid w:val="009547B9"/>
    <w:rPr>
      <w:rFonts w:ascii="Calibri" w:hAnsi="Calibri" w:cs="Times New Roman"/>
      <w:b/>
      <w:sz w:val="28"/>
      <w:lang w:eastAsia="en-US"/>
    </w:rPr>
  </w:style>
  <w:style w:type="character" w:customStyle="1" w:styleId="Titolo5Carattere">
    <w:name w:val="Titolo 5 Carattere"/>
    <w:aliases w:val="Subparagraph Carattere"/>
    <w:basedOn w:val="Carpredefinitoparagrafo"/>
    <w:link w:val="Titolo5"/>
    <w:uiPriority w:val="99"/>
    <w:semiHidden/>
    <w:locked/>
    <w:rsid w:val="009547B9"/>
    <w:rPr>
      <w:rFonts w:ascii="Calibri" w:hAnsi="Calibri" w:cs="Times New Roman"/>
      <w:b/>
      <w:i/>
      <w:sz w:val="26"/>
      <w:lang w:eastAsia="en-US"/>
    </w:rPr>
  </w:style>
  <w:style w:type="character" w:customStyle="1" w:styleId="Titolo1Carattere">
    <w:name w:val="Titolo 1 Carattere"/>
    <w:aliases w:val="Section Carattere"/>
    <w:link w:val="Titolo1"/>
    <w:uiPriority w:val="99"/>
    <w:locked/>
    <w:rsid w:val="00A867C7"/>
    <w:rPr>
      <w:rFonts w:ascii="Tahoma" w:hAnsi="Tahoma"/>
      <w:b/>
      <w:spacing w:val="10"/>
      <w:sz w:val="24"/>
      <w:lang w:val="it-IT" w:eastAsia="it-IT"/>
    </w:rPr>
  </w:style>
  <w:style w:type="paragraph" w:styleId="Paragrafoelenco">
    <w:name w:val="List Paragraph"/>
    <w:basedOn w:val="Normale"/>
    <w:uiPriority w:val="99"/>
    <w:qFormat/>
    <w:rsid w:val="000B5FD8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A867C7"/>
    <w:pPr>
      <w:keepNext/>
      <w:keepLines/>
      <w:spacing w:before="600" w:after="40" w:line="240" w:lineRule="auto"/>
    </w:pPr>
    <w:rPr>
      <w:rFonts w:ascii="Tahoma" w:hAnsi="Tahoma"/>
      <w:spacing w:val="20"/>
      <w:kern w:val="28"/>
      <w:sz w:val="48"/>
      <w:szCs w:val="48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867C7"/>
    <w:rPr>
      <w:rFonts w:ascii="Tahoma" w:hAnsi="Tahoma" w:cs="Times New Roman"/>
      <w:spacing w:val="20"/>
      <w:kern w:val="28"/>
      <w:sz w:val="48"/>
      <w:lang w:eastAsia="it-IT"/>
    </w:rPr>
  </w:style>
  <w:style w:type="paragraph" w:customStyle="1" w:styleId="Sottotitolocorsivo">
    <w:name w:val="Sottotitolo corsivo"/>
    <w:next w:val="Corpotesto"/>
    <w:uiPriority w:val="99"/>
    <w:rsid w:val="00A867C7"/>
    <w:pPr>
      <w:spacing w:after="200" w:line="320" w:lineRule="exact"/>
    </w:pPr>
    <w:rPr>
      <w:rFonts w:ascii="Tahoma" w:eastAsia="Times New Roman" w:hAnsi="Tahoma" w:cs="Tahoma"/>
      <w:i/>
      <w:color w:val="808080"/>
      <w:spacing w:val="20"/>
      <w:kern w:val="28"/>
      <w:sz w:val="28"/>
      <w:szCs w:val="28"/>
    </w:rPr>
  </w:style>
  <w:style w:type="character" w:customStyle="1" w:styleId="TitleCoverChar">
    <w:name w:val="Title Cover Char"/>
    <w:link w:val="Titolofrontespizio"/>
    <w:uiPriority w:val="99"/>
    <w:locked/>
    <w:rsid w:val="00A867C7"/>
  </w:style>
  <w:style w:type="paragraph" w:customStyle="1" w:styleId="Titolofrontespizio">
    <w:name w:val="Titolo frontespizio"/>
    <w:basedOn w:val="Normale"/>
    <w:next w:val="Sottotitolocorsivo"/>
    <w:link w:val="TitleCoverChar"/>
    <w:uiPriority w:val="99"/>
    <w:rsid w:val="00A867C7"/>
    <w:pPr>
      <w:keepNext/>
      <w:keepLines/>
      <w:spacing w:before="1600" w:line="600" w:lineRule="exact"/>
    </w:pPr>
  </w:style>
  <w:style w:type="paragraph" w:styleId="Corpotesto">
    <w:name w:val="Body Text"/>
    <w:basedOn w:val="Normale"/>
    <w:link w:val="CorpotestoCarattere"/>
    <w:uiPriority w:val="99"/>
    <w:rsid w:val="00A867C7"/>
    <w:pPr>
      <w:spacing w:after="120"/>
    </w:pPr>
    <w:rPr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A867C7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A867C7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867C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A867C7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867C7"/>
    <w:rPr>
      <w:rFonts w:cs="Times New Roman"/>
    </w:rPr>
  </w:style>
  <w:style w:type="paragraph" w:customStyle="1" w:styleId="Stile">
    <w:name w:val="Stile"/>
    <w:basedOn w:val="Normale"/>
    <w:next w:val="Corpotesto"/>
    <w:uiPriority w:val="99"/>
    <w:rsid w:val="00A867C7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customStyle="1" w:styleId="Stile1">
    <w:name w:val="Stile1"/>
    <w:basedOn w:val="Normale"/>
    <w:next w:val="Corpotesto"/>
    <w:uiPriority w:val="99"/>
    <w:rsid w:val="00B61A70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1B11AE"/>
    <w:rPr>
      <w:rFonts w:cs="Times New Roman"/>
      <w:color w:val="0000FF"/>
      <w:u w:val="single"/>
    </w:rPr>
  </w:style>
  <w:style w:type="character" w:customStyle="1" w:styleId="a">
    <w:name w:val="Σύμβολο υποσημείωσης"/>
    <w:uiPriority w:val="99"/>
    <w:rsid w:val="008D1584"/>
    <w:rPr>
      <w:vertAlign w:val="superscript"/>
    </w:rPr>
  </w:style>
  <w:style w:type="paragraph" w:customStyle="1" w:styleId="a0">
    <w:name w:val="Επικεφαλίδα"/>
    <w:basedOn w:val="Normale"/>
    <w:next w:val="Corpotesto"/>
    <w:uiPriority w:val="99"/>
    <w:rsid w:val="008D1584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rsid w:val="008D1584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1584"/>
    <w:rPr>
      <w:rFonts w:ascii="Times New Roman" w:hAnsi="Times New Roman" w:cs="Times New Roman"/>
      <w:sz w:val="20"/>
      <w:lang w:eastAsia="ar-SA" w:bidi="ar-SA"/>
    </w:rPr>
  </w:style>
  <w:style w:type="character" w:styleId="Collegamentovisitato">
    <w:name w:val="FollowedHyperlink"/>
    <w:basedOn w:val="Carpredefinitoparagrafo"/>
    <w:uiPriority w:val="99"/>
    <w:semiHidden/>
    <w:rsid w:val="00736C96"/>
    <w:rPr>
      <w:rFonts w:cs="Times New Roman"/>
      <w:color w:val="800080"/>
      <w:u w:val="single"/>
    </w:rPr>
  </w:style>
  <w:style w:type="paragraph" w:customStyle="1" w:styleId="Quotation">
    <w:name w:val="Quotation"/>
    <w:basedOn w:val="Normale"/>
    <w:next w:val="Normale"/>
    <w:uiPriority w:val="99"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Verse">
    <w:name w:val="Verse"/>
    <w:basedOn w:val="Normale"/>
    <w:next w:val="Normale"/>
    <w:uiPriority w:val="99"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Theorem">
    <w:name w:val="Theorem"/>
    <w:basedOn w:val="Normale"/>
    <w:next w:val="Normale"/>
    <w:uiPriority w:val="99"/>
    <w:rsid w:val="0060794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idascalia1">
    <w:name w:val="Didascalia1"/>
    <w:basedOn w:val="Normale"/>
    <w:next w:val="Normale"/>
    <w:uiPriority w:val="99"/>
    <w:rsid w:val="0060794C"/>
    <w:pPr>
      <w:widowControl w:val="0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paragraph" w:customStyle="1" w:styleId="Footnote">
    <w:name w:val="Footnote"/>
    <w:basedOn w:val="Normale"/>
    <w:next w:val="Normale"/>
    <w:uiPriority w:val="99"/>
    <w:rsid w:val="006079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MTDisplayEquation">
    <w:name w:val="MTDisplayEquation"/>
    <w:basedOn w:val="Normale"/>
    <w:next w:val="Normale"/>
    <w:uiPriority w:val="99"/>
    <w:rsid w:val="006079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60794C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60794C"/>
    <w:rPr>
      <w:rFonts w:ascii="Tahoma" w:hAnsi="Tahoma" w:cs="Times New Roman"/>
      <w:sz w:val="16"/>
    </w:rPr>
  </w:style>
  <w:style w:type="table" w:styleId="Grigliatabella">
    <w:name w:val="Table Grid"/>
    <w:basedOn w:val="Tabellanormale"/>
    <w:uiPriority w:val="99"/>
    <w:locked/>
    <w:rsid w:val="0051217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057007"/>
    <w:rPr>
      <w:rFonts w:cs="Times New Roman"/>
      <w:color w:val="808080"/>
    </w:rPr>
  </w:style>
  <w:style w:type="character" w:styleId="Rimandocommento">
    <w:name w:val="annotation reference"/>
    <w:basedOn w:val="Carpredefinitoparagrafo"/>
    <w:uiPriority w:val="99"/>
    <w:semiHidden/>
    <w:rsid w:val="008D2519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8D251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8D2519"/>
    <w:rPr>
      <w:rFonts w:ascii="Calibri" w:hAnsi="Calibri" w:cs="Times New Roman"/>
      <w:lang w:val="it-IT" w:eastAsia="en-US" w:bidi="ar-SA"/>
    </w:rPr>
  </w:style>
  <w:style w:type="character" w:styleId="Rimandonotaapidipagina">
    <w:name w:val="footnote reference"/>
    <w:uiPriority w:val="99"/>
    <w:semiHidden/>
    <w:unhideWhenUsed/>
    <w:rsid w:val="001D0BF4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A60C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nhideWhenUsed="0"/>
    <w:lsdException w:name="header" w:locked="1" w:semiHidden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5F3B"/>
    <w:pPr>
      <w:spacing w:after="200" w:line="276" w:lineRule="auto"/>
    </w:pPr>
    <w:rPr>
      <w:lang w:eastAsia="en-US"/>
    </w:rPr>
  </w:style>
  <w:style w:type="paragraph" w:styleId="Titolo1">
    <w:name w:val="heading 1"/>
    <w:aliases w:val="Section"/>
    <w:basedOn w:val="Normale"/>
    <w:next w:val="Corpotesto"/>
    <w:link w:val="Titolo1Carattere"/>
    <w:uiPriority w:val="99"/>
    <w:qFormat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  <w:outlineLvl w:val="0"/>
    </w:pPr>
    <w:rPr>
      <w:rFonts w:ascii="Tahoma" w:hAnsi="Tahoma"/>
      <w:b/>
      <w:spacing w:val="10"/>
      <w:sz w:val="24"/>
      <w:szCs w:val="20"/>
      <w:lang w:eastAsia="it-IT"/>
    </w:rPr>
  </w:style>
  <w:style w:type="paragraph" w:styleId="Titolo2">
    <w:name w:val="heading 2"/>
    <w:aliases w:val="Subsection"/>
    <w:basedOn w:val="Normale"/>
    <w:next w:val="Normale"/>
    <w:link w:val="Titolo2Carattere"/>
    <w:uiPriority w:val="99"/>
    <w:qFormat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olo3">
    <w:name w:val="heading 3"/>
    <w:aliases w:val="Subsubsection"/>
    <w:basedOn w:val="Normale"/>
    <w:next w:val="Normale"/>
    <w:link w:val="Titolo3Carattere"/>
    <w:uiPriority w:val="99"/>
    <w:qFormat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aliases w:val="Paragraph"/>
    <w:basedOn w:val="Normale"/>
    <w:next w:val="Normale"/>
    <w:link w:val="Titolo4Carattere"/>
    <w:uiPriority w:val="99"/>
    <w:qFormat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  <w:outlineLvl w:val="3"/>
    </w:pPr>
    <w:rPr>
      <w:rFonts w:eastAsia="Times New Roman"/>
      <w:b/>
      <w:bCs/>
      <w:sz w:val="28"/>
      <w:szCs w:val="28"/>
    </w:rPr>
  </w:style>
  <w:style w:type="paragraph" w:styleId="Titolo5">
    <w:name w:val="heading 5"/>
    <w:aliases w:val="Subparagraph"/>
    <w:basedOn w:val="Normale"/>
    <w:next w:val="Normale"/>
    <w:link w:val="Titolo5Carattere"/>
    <w:uiPriority w:val="99"/>
    <w:qFormat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aliases w:val="Section Char"/>
    <w:basedOn w:val="Carpredefinitoparagrafo"/>
    <w:uiPriority w:val="99"/>
    <w:locked/>
    <w:rsid w:val="009547B9"/>
    <w:rPr>
      <w:rFonts w:ascii="Cambria" w:hAnsi="Cambria" w:cs="Times New Roman"/>
      <w:b/>
      <w:kern w:val="32"/>
      <w:sz w:val="32"/>
      <w:lang w:eastAsia="en-US"/>
    </w:rPr>
  </w:style>
  <w:style w:type="character" w:customStyle="1" w:styleId="Titolo2Carattere">
    <w:name w:val="Titolo 2 Carattere"/>
    <w:aliases w:val="Subsection Carattere"/>
    <w:basedOn w:val="Carpredefinitoparagrafo"/>
    <w:link w:val="Titolo2"/>
    <w:uiPriority w:val="99"/>
    <w:semiHidden/>
    <w:locked/>
    <w:rsid w:val="009547B9"/>
    <w:rPr>
      <w:rFonts w:ascii="Cambria" w:hAnsi="Cambria" w:cs="Times New Roman"/>
      <w:b/>
      <w:i/>
      <w:sz w:val="28"/>
      <w:lang w:eastAsia="en-US"/>
    </w:rPr>
  </w:style>
  <w:style w:type="character" w:customStyle="1" w:styleId="Titolo3Carattere">
    <w:name w:val="Titolo 3 Carattere"/>
    <w:aliases w:val="Subsubsection Carattere"/>
    <w:basedOn w:val="Carpredefinitoparagrafo"/>
    <w:link w:val="Titolo3"/>
    <w:uiPriority w:val="99"/>
    <w:semiHidden/>
    <w:locked/>
    <w:rsid w:val="009547B9"/>
    <w:rPr>
      <w:rFonts w:ascii="Cambria" w:hAnsi="Cambria" w:cs="Times New Roman"/>
      <w:b/>
      <w:sz w:val="26"/>
      <w:lang w:eastAsia="en-US"/>
    </w:rPr>
  </w:style>
  <w:style w:type="character" w:customStyle="1" w:styleId="Titolo4Carattere">
    <w:name w:val="Titolo 4 Carattere"/>
    <w:aliases w:val="Paragraph Carattere"/>
    <w:basedOn w:val="Carpredefinitoparagrafo"/>
    <w:link w:val="Titolo4"/>
    <w:uiPriority w:val="99"/>
    <w:semiHidden/>
    <w:locked/>
    <w:rsid w:val="009547B9"/>
    <w:rPr>
      <w:rFonts w:ascii="Calibri" w:hAnsi="Calibri" w:cs="Times New Roman"/>
      <w:b/>
      <w:sz w:val="28"/>
      <w:lang w:eastAsia="en-US"/>
    </w:rPr>
  </w:style>
  <w:style w:type="character" w:customStyle="1" w:styleId="Titolo5Carattere">
    <w:name w:val="Titolo 5 Carattere"/>
    <w:aliases w:val="Subparagraph Carattere"/>
    <w:basedOn w:val="Carpredefinitoparagrafo"/>
    <w:link w:val="Titolo5"/>
    <w:uiPriority w:val="99"/>
    <w:semiHidden/>
    <w:locked/>
    <w:rsid w:val="009547B9"/>
    <w:rPr>
      <w:rFonts w:ascii="Calibri" w:hAnsi="Calibri" w:cs="Times New Roman"/>
      <w:b/>
      <w:i/>
      <w:sz w:val="26"/>
      <w:lang w:eastAsia="en-US"/>
    </w:rPr>
  </w:style>
  <w:style w:type="character" w:customStyle="1" w:styleId="Titolo1Carattere">
    <w:name w:val="Titolo 1 Carattere"/>
    <w:aliases w:val="Section Carattere"/>
    <w:link w:val="Titolo1"/>
    <w:uiPriority w:val="99"/>
    <w:locked/>
    <w:rsid w:val="00A867C7"/>
    <w:rPr>
      <w:rFonts w:ascii="Tahoma" w:hAnsi="Tahoma"/>
      <w:b/>
      <w:spacing w:val="10"/>
      <w:sz w:val="24"/>
      <w:lang w:val="it-IT" w:eastAsia="it-IT"/>
    </w:rPr>
  </w:style>
  <w:style w:type="paragraph" w:styleId="Paragrafoelenco">
    <w:name w:val="List Paragraph"/>
    <w:basedOn w:val="Normale"/>
    <w:uiPriority w:val="99"/>
    <w:qFormat/>
    <w:rsid w:val="000B5FD8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A867C7"/>
    <w:pPr>
      <w:keepNext/>
      <w:keepLines/>
      <w:spacing w:before="600" w:after="40" w:line="240" w:lineRule="auto"/>
    </w:pPr>
    <w:rPr>
      <w:rFonts w:ascii="Tahoma" w:hAnsi="Tahoma"/>
      <w:spacing w:val="20"/>
      <w:kern w:val="28"/>
      <w:sz w:val="48"/>
      <w:szCs w:val="48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867C7"/>
    <w:rPr>
      <w:rFonts w:ascii="Tahoma" w:hAnsi="Tahoma" w:cs="Times New Roman"/>
      <w:spacing w:val="20"/>
      <w:kern w:val="28"/>
      <w:sz w:val="48"/>
      <w:lang w:eastAsia="it-IT"/>
    </w:rPr>
  </w:style>
  <w:style w:type="paragraph" w:customStyle="1" w:styleId="Sottotitolocorsivo">
    <w:name w:val="Sottotitolo corsivo"/>
    <w:next w:val="Corpotesto"/>
    <w:uiPriority w:val="99"/>
    <w:rsid w:val="00A867C7"/>
    <w:pPr>
      <w:spacing w:after="200" w:line="320" w:lineRule="exact"/>
    </w:pPr>
    <w:rPr>
      <w:rFonts w:ascii="Tahoma" w:eastAsia="Times New Roman" w:hAnsi="Tahoma" w:cs="Tahoma"/>
      <w:i/>
      <w:color w:val="808080"/>
      <w:spacing w:val="20"/>
      <w:kern w:val="28"/>
      <w:sz w:val="28"/>
      <w:szCs w:val="28"/>
    </w:rPr>
  </w:style>
  <w:style w:type="character" w:customStyle="1" w:styleId="TitleCoverChar">
    <w:name w:val="Title Cover Char"/>
    <w:link w:val="Titolofrontespizio"/>
    <w:uiPriority w:val="99"/>
    <w:locked/>
    <w:rsid w:val="00A867C7"/>
  </w:style>
  <w:style w:type="paragraph" w:customStyle="1" w:styleId="Titolofrontespizio">
    <w:name w:val="Titolo frontespizio"/>
    <w:basedOn w:val="Normale"/>
    <w:next w:val="Sottotitolocorsivo"/>
    <w:link w:val="TitleCoverChar"/>
    <w:uiPriority w:val="99"/>
    <w:rsid w:val="00A867C7"/>
    <w:pPr>
      <w:keepNext/>
      <w:keepLines/>
      <w:spacing w:before="1600" w:line="600" w:lineRule="exact"/>
    </w:pPr>
  </w:style>
  <w:style w:type="paragraph" w:styleId="Corpotesto">
    <w:name w:val="Body Text"/>
    <w:basedOn w:val="Normale"/>
    <w:link w:val="CorpotestoCarattere"/>
    <w:uiPriority w:val="99"/>
    <w:rsid w:val="00A867C7"/>
    <w:pPr>
      <w:spacing w:after="120"/>
    </w:pPr>
    <w:rPr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A867C7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A867C7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867C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A867C7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867C7"/>
    <w:rPr>
      <w:rFonts w:cs="Times New Roman"/>
    </w:rPr>
  </w:style>
  <w:style w:type="paragraph" w:customStyle="1" w:styleId="Stile">
    <w:name w:val="Stile"/>
    <w:basedOn w:val="Normale"/>
    <w:next w:val="Corpotesto"/>
    <w:uiPriority w:val="99"/>
    <w:rsid w:val="00A867C7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customStyle="1" w:styleId="Stile1">
    <w:name w:val="Stile1"/>
    <w:basedOn w:val="Normale"/>
    <w:next w:val="Corpotesto"/>
    <w:uiPriority w:val="99"/>
    <w:rsid w:val="00B61A70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1B11AE"/>
    <w:rPr>
      <w:rFonts w:cs="Times New Roman"/>
      <w:color w:val="0000FF"/>
      <w:u w:val="single"/>
    </w:rPr>
  </w:style>
  <w:style w:type="character" w:customStyle="1" w:styleId="a">
    <w:name w:val="Σύμβολο υποσημείωσης"/>
    <w:uiPriority w:val="99"/>
    <w:rsid w:val="008D1584"/>
    <w:rPr>
      <w:vertAlign w:val="superscript"/>
    </w:rPr>
  </w:style>
  <w:style w:type="paragraph" w:customStyle="1" w:styleId="a0">
    <w:name w:val="Επικεφαλίδα"/>
    <w:basedOn w:val="Normale"/>
    <w:next w:val="Corpotesto"/>
    <w:uiPriority w:val="99"/>
    <w:rsid w:val="008D1584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rsid w:val="008D1584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1584"/>
    <w:rPr>
      <w:rFonts w:ascii="Times New Roman" w:hAnsi="Times New Roman" w:cs="Times New Roman"/>
      <w:sz w:val="20"/>
      <w:lang w:eastAsia="ar-SA" w:bidi="ar-SA"/>
    </w:rPr>
  </w:style>
  <w:style w:type="character" w:styleId="Collegamentovisitato">
    <w:name w:val="FollowedHyperlink"/>
    <w:basedOn w:val="Carpredefinitoparagrafo"/>
    <w:uiPriority w:val="99"/>
    <w:semiHidden/>
    <w:rsid w:val="00736C96"/>
    <w:rPr>
      <w:rFonts w:cs="Times New Roman"/>
      <w:color w:val="800080"/>
      <w:u w:val="single"/>
    </w:rPr>
  </w:style>
  <w:style w:type="paragraph" w:customStyle="1" w:styleId="Quotation">
    <w:name w:val="Quotation"/>
    <w:basedOn w:val="Normale"/>
    <w:next w:val="Normale"/>
    <w:uiPriority w:val="99"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Verse">
    <w:name w:val="Verse"/>
    <w:basedOn w:val="Normale"/>
    <w:next w:val="Normale"/>
    <w:uiPriority w:val="99"/>
    <w:rsid w:val="0060794C"/>
    <w:pPr>
      <w:keepNext/>
      <w:widowControl w:val="0"/>
      <w:autoSpaceDE w:val="0"/>
      <w:autoSpaceDN w:val="0"/>
      <w:adjustRightInd w:val="0"/>
      <w:spacing w:before="240" w:after="16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Theorem">
    <w:name w:val="Theorem"/>
    <w:basedOn w:val="Normale"/>
    <w:next w:val="Normale"/>
    <w:uiPriority w:val="99"/>
    <w:rsid w:val="0060794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idascalia1">
    <w:name w:val="Didascalia1"/>
    <w:basedOn w:val="Normale"/>
    <w:next w:val="Normale"/>
    <w:uiPriority w:val="99"/>
    <w:rsid w:val="0060794C"/>
    <w:pPr>
      <w:widowControl w:val="0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paragraph" w:customStyle="1" w:styleId="Footnote">
    <w:name w:val="Footnote"/>
    <w:basedOn w:val="Normale"/>
    <w:next w:val="Normale"/>
    <w:uiPriority w:val="99"/>
    <w:rsid w:val="006079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MTDisplayEquation">
    <w:name w:val="MTDisplayEquation"/>
    <w:basedOn w:val="Normale"/>
    <w:next w:val="Normale"/>
    <w:uiPriority w:val="99"/>
    <w:rsid w:val="006079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60794C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60794C"/>
    <w:rPr>
      <w:rFonts w:ascii="Tahoma" w:hAnsi="Tahoma" w:cs="Times New Roman"/>
      <w:sz w:val="16"/>
    </w:rPr>
  </w:style>
  <w:style w:type="table" w:styleId="Grigliatabella">
    <w:name w:val="Table Grid"/>
    <w:basedOn w:val="Tabellanormale"/>
    <w:uiPriority w:val="99"/>
    <w:locked/>
    <w:rsid w:val="0051217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057007"/>
    <w:rPr>
      <w:rFonts w:cs="Times New Roman"/>
      <w:color w:val="808080"/>
    </w:rPr>
  </w:style>
  <w:style w:type="character" w:styleId="Rimandocommento">
    <w:name w:val="annotation reference"/>
    <w:basedOn w:val="Carpredefinitoparagrafo"/>
    <w:uiPriority w:val="99"/>
    <w:semiHidden/>
    <w:rsid w:val="008D2519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8D251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8D2519"/>
    <w:rPr>
      <w:rFonts w:ascii="Calibri" w:hAnsi="Calibri" w:cs="Times New Roman"/>
      <w:lang w:val="it-IT" w:eastAsia="en-US" w:bidi="ar-SA"/>
    </w:rPr>
  </w:style>
  <w:style w:type="character" w:styleId="Rimandonotaapidipagina">
    <w:name w:val="footnote reference"/>
    <w:uiPriority w:val="99"/>
    <w:semiHidden/>
    <w:unhideWhenUsed/>
    <w:rsid w:val="001D0BF4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A60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09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CB723-E960-4DEF-8B39-88A092B80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Links>
    <vt:vector size="12" baseType="variant">
      <vt:variant>
        <vt:i4>4390974</vt:i4>
      </vt:variant>
      <vt:variant>
        <vt:i4>3</vt:i4>
      </vt:variant>
      <vt:variant>
        <vt:i4>0</vt:i4>
      </vt:variant>
      <vt:variant>
        <vt:i4>5</vt:i4>
      </vt:variant>
      <vt:variant>
        <vt:lpwstr>http://www.finanze.gov.it/export/download/fislocaddizionalecomunaleirpef/Decreto_legislativo_del_28_settembre_1998_n._360_Articolo_1x_comma_3.pdf</vt:lpwstr>
      </vt:variant>
      <vt:variant>
        <vt:lpwstr/>
      </vt:variant>
      <vt:variant>
        <vt:i4>2228322</vt:i4>
      </vt:variant>
      <vt:variant>
        <vt:i4>0</vt:i4>
      </vt:variant>
      <vt:variant>
        <vt:i4>0</vt:i4>
      </vt:variant>
      <vt:variant>
        <vt:i4>5</vt:i4>
      </vt:variant>
      <vt:variant>
        <vt:lpwstr>http://www.im.va)/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Catello Caiazzo</dc:creator>
  <cp:lastModifiedBy>Catello Caiazzo</cp:lastModifiedBy>
  <cp:revision>4</cp:revision>
  <cp:lastPrinted>2015-07-13T06:51:00Z</cp:lastPrinted>
  <dcterms:created xsi:type="dcterms:W3CDTF">2015-07-13T07:05:00Z</dcterms:created>
  <dcterms:modified xsi:type="dcterms:W3CDTF">2015-07-13T13:18:00Z</dcterms:modified>
</cp:coreProperties>
</file>